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451B91" w14:textId="77777777" w:rsidR="003E73DC" w:rsidRDefault="003E73DC">
      <w:pPr>
        <w:rPr>
          <w:rFonts w:ascii="宋体" w:hAnsi="宋体" w:cs="Arial"/>
          <w:b/>
          <w:bCs/>
          <w:szCs w:val="28"/>
        </w:rPr>
      </w:pPr>
    </w:p>
    <w:p w14:paraId="7B3F5619" w14:textId="77777777" w:rsidR="003E73DC" w:rsidRDefault="00000000">
      <w:pPr>
        <w:widowControl/>
        <w:kinsoku w:val="0"/>
        <w:autoSpaceDE w:val="0"/>
        <w:autoSpaceDN w:val="0"/>
        <w:adjustRightInd w:val="0"/>
        <w:snapToGrid w:val="0"/>
        <w:spacing w:before="143" w:line="182" w:lineRule="auto"/>
        <w:ind w:firstLineChars="0" w:firstLine="2875"/>
        <w:jc w:val="left"/>
        <w:textAlignment w:val="baseline"/>
        <w:rPr>
          <w:rFonts w:ascii="宋体" w:hAnsi="宋体" w:cs="宋体"/>
          <w:snapToGrid w:val="0"/>
          <w:color w:val="000000"/>
          <w:kern w:val="0"/>
          <w:sz w:val="44"/>
          <w:szCs w:val="44"/>
        </w:rPr>
      </w:pPr>
      <w:r>
        <w:rPr>
          <w:rFonts w:ascii="宋体" w:hAnsi="宋体" w:cs="宋体"/>
          <w:snapToGrid w:val="0"/>
          <w:color w:val="000000"/>
          <w:spacing w:val="-1"/>
          <w:kern w:val="0"/>
          <w:sz w:val="44"/>
          <w:szCs w:val="44"/>
        </w:rPr>
        <w:t>项目支出部门评价报告</w:t>
      </w:r>
    </w:p>
    <w:p w14:paraId="47D707C6" w14:textId="77777777" w:rsidR="003E73DC" w:rsidRDefault="003E73DC">
      <w:pPr>
        <w:widowControl/>
        <w:kinsoku w:val="0"/>
        <w:autoSpaceDE w:val="0"/>
        <w:autoSpaceDN w:val="0"/>
        <w:adjustRightInd w:val="0"/>
        <w:snapToGrid w:val="0"/>
        <w:spacing w:line="248" w:lineRule="auto"/>
        <w:ind w:firstLineChars="0" w:firstLine="0"/>
        <w:jc w:val="left"/>
        <w:textAlignment w:val="baseline"/>
        <w:rPr>
          <w:rFonts w:ascii="Arial" w:eastAsia="Arial" w:hAnsi="Arial" w:cs="Arial"/>
          <w:snapToGrid w:val="0"/>
          <w:color w:val="000000"/>
          <w:kern w:val="0"/>
          <w:sz w:val="21"/>
          <w:szCs w:val="21"/>
        </w:rPr>
      </w:pPr>
    </w:p>
    <w:p w14:paraId="1F52192A"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2B9C18C1"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1E6E7C4E"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0FA38E29" w14:textId="77777777" w:rsidR="003E73DC" w:rsidRDefault="00000000">
      <w:pPr>
        <w:widowControl/>
        <w:kinsoku w:val="0"/>
        <w:autoSpaceDE w:val="0"/>
        <w:autoSpaceDN w:val="0"/>
        <w:adjustRightInd w:val="0"/>
        <w:snapToGrid w:val="0"/>
        <w:spacing w:before="104" w:line="198" w:lineRule="auto"/>
        <w:ind w:firstLineChars="0" w:firstLine="1062"/>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11"/>
          <w:kern w:val="0"/>
          <w:sz w:val="32"/>
          <w:szCs w:val="32"/>
        </w:rPr>
        <w:t>评价类型：</w:t>
      </w:r>
      <w:r>
        <w:rPr>
          <w:rFonts w:ascii="Arial" w:eastAsia="Arial" w:hAnsi="Arial" w:cs="Arial"/>
          <w:noProof/>
          <w:snapToGrid w:val="0"/>
          <w:color w:val="000000"/>
          <w:kern w:val="0"/>
          <w:position w:val="-6"/>
          <w:sz w:val="32"/>
          <w:szCs w:val="32"/>
        </w:rPr>
        <w:drawing>
          <wp:inline distT="0" distB="0" distL="0" distR="0" wp14:anchorId="35475270" wp14:editId="0C325E25">
            <wp:extent cx="146685" cy="21399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
                    <a:stretch>
                      <a:fillRect/>
                    </a:stretch>
                  </pic:blipFill>
                  <pic:spPr>
                    <a:xfrm>
                      <a:off x="0" y="0"/>
                      <a:ext cx="147097" cy="214441"/>
                    </a:xfrm>
                    <a:prstGeom prst="rect">
                      <a:avLst/>
                    </a:prstGeom>
                  </pic:spPr>
                </pic:pic>
              </a:graphicData>
            </a:graphic>
          </wp:inline>
        </w:drawing>
      </w:r>
      <w:r>
        <w:rPr>
          <w:rFonts w:ascii="黑体" w:eastAsia="黑体" w:hAnsi="黑体" w:cs="黑体"/>
          <w:snapToGrid w:val="0"/>
          <w:color w:val="000000"/>
          <w:spacing w:val="-11"/>
          <w:kern w:val="0"/>
          <w:sz w:val="32"/>
          <w:szCs w:val="32"/>
          <w:u w:val="single"/>
        </w:rPr>
        <w:t>实施过程评价</w:t>
      </w:r>
      <w:r>
        <w:rPr>
          <w:rFonts w:ascii="黑体" w:eastAsia="黑体" w:hAnsi="黑体" w:cs="黑体"/>
          <w:snapToGrid w:val="0"/>
          <w:color w:val="000000"/>
          <w:spacing w:val="2"/>
          <w:kern w:val="0"/>
          <w:sz w:val="32"/>
          <w:szCs w:val="32"/>
          <w:u w:val="single"/>
        </w:rPr>
        <w:t xml:space="preserve">         </w:t>
      </w:r>
      <w:r>
        <w:rPr>
          <w:rFonts w:ascii="黑体" w:eastAsia="黑体" w:hAnsi="黑体" w:cs="黑体" w:hint="eastAsia"/>
          <w:snapToGrid w:val="0"/>
          <w:color w:val="000000"/>
          <w:spacing w:val="2"/>
          <w:kern w:val="0"/>
          <w:sz w:val="32"/>
          <w:szCs w:val="32"/>
          <w:u w:val="single"/>
        </w:rPr>
        <w:t>√</w:t>
      </w:r>
      <w:r>
        <w:rPr>
          <w:rFonts w:ascii="黑体" w:eastAsia="黑体" w:hAnsi="黑体" w:cs="黑体"/>
          <w:snapToGrid w:val="0"/>
          <w:color w:val="000000"/>
          <w:spacing w:val="-11"/>
          <w:kern w:val="0"/>
          <w:sz w:val="32"/>
          <w:szCs w:val="32"/>
          <w:u w:val="single"/>
        </w:rPr>
        <w:t>完成结果评价</w:t>
      </w:r>
      <w:r>
        <w:rPr>
          <w:rFonts w:ascii="黑体" w:eastAsia="黑体" w:hAnsi="黑体" w:cs="黑体"/>
          <w:snapToGrid w:val="0"/>
          <w:color w:val="000000"/>
          <w:spacing w:val="2"/>
          <w:kern w:val="0"/>
          <w:sz w:val="32"/>
          <w:szCs w:val="32"/>
          <w:u w:val="single"/>
        </w:rPr>
        <w:t xml:space="preserve"> </w:t>
      </w:r>
      <w:r>
        <w:rPr>
          <w:rFonts w:ascii="黑体" w:eastAsia="黑体" w:hAnsi="黑体" w:cs="黑体" w:hint="eastAsia"/>
          <w:snapToGrid w:val="0"/>
          <w:color w:val="000000"/>
          <w:spacing w:val="2"/>
          <w:kern w:val="0"/>
          <w:sz w:val="32"/>
          <w:szCs w:val="32"/>
          <w:u w:val="single"/>
        </w:rPr>
        <w:t xml:space="preserve"> </w:t>
      </w:r>
      <w:r>
        <w:rPr>
          <w:rFonts w:ascii="黑体" w:eastAsia="黑体" w:hAnsi="黑体" w:cs="黑体"/>
          <w:snapToGrid w:val="0"/>
          <w:color w:val="000000"/>
          <w:spacing w:val="2"/>
          <w:kern w:val="0"/>
          <w:sz w:val="32"/>
          <w:szCs w:val="32"/>
          <w:u w:val="single"/>
        </w:rPr>
        <w:t xml:space="preserve">  </w:t>
      </w:r>
    </w:p>
    <w:p w14:paraId="10917BDC"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38496CE8"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73E3CCC8"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0533FFF5" w14:textId="77777777" w:rsidR="003E73DC" w:rsidRDefault="00000000">
      <w:pPr>
        <w:widowControl/>
        <w:kinsoku w:val="0"/>
        <w:autoSpaceDE w:val="0"/>
        <w:autoSpaceDN w:val="0"/>
        <w:adjustRightInd w:val="0"/>
        <w:snapToGrid w:val="0"/>
        <w:spacing w:before="104" w:line="188" w:lineRule="auto"/>
        <w:ind w:firstLineChars="0" w:firstLine="1063"/>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30"/>
          <w:w w:val="94"/>
          <w:kern w:val="0"/>
          <w:sz w:val="32"/>
          <w:szCs w:val="32"/>
        </w:rPr>
        <w:t>项目名称：</w:t>
      </w:r>
      <w:r>
        <w:rPr>
          <w:rFonts w:ascii="黑体" w:eastAsia="黑体" w:hAnsi="黑体" w:cs="黑体"/>
          <w:snapToGrid w:val="0"/>
          <w:color w:val="000000"/>
          <w:kern w:val="0"/>
          <w:sz w:val="32"/>
          <w:szCs w:val="32"/>
          <w:u w:val="single"/>
        </w:rPr>
        <w:t xml:space="preserve"> </w:t>
      </w:r>
      <w:r>
        <w:rPr>
          <w:rFonts w:ascii="黑体" w:eastAsia="黑体" w:hAnsi="黑体" w:cs="黑体" w:hint="eastAsia"/>
          <w:snapToGrid w:val="0"/>
          <w:color w:val="000000"/>
          <w:kern w:val="0"/>
          <w:sz w:val="32"/>
          <w:szCs w:val="32"/>
          <w:u w:val="single"/>
        </w:rPr>
        <w:t xml:space="preserve"> </w:t>
      </w:r>
      <w:r>
        <w:rPr>
          <w:rFonts w:ascii="黑体" w:eastAsia="黑体" w:hAnsi="黑体" w:cs="黑体" w:hint="eastAsia"/>
          <w:snapToGrid w:val="0"/>
          <w:color w:val="000000"/>
          <w:kern w:val="0"/>
          <w:szCs w:val="28"/>
          <w:u w:val="single"/>
        </w:rPr>
        <w:t>第十二届中国卫星导航年会江西地方形象馆</w:t>
      </w:r>
      <w:r>
        <w:rPr>
          <w:rFonts w:ascii="黑体" w:eastAsia="黑体" w:hAnsi="黑体" w:cs="黑体"/>
          <w:snapToGrid w:val="0"/>
          <w:color w:val="000000"/>
          <w:kern w:val="0"/>
          <w:sz w:val="32"/>
          <w:szCs w:val="32"/>
          <w:u w:val="single"/>
        </w:rPr>
        <w:t xml:space="preserve">                                 </w:t>
      </w:r>
    </w:p>
    <w:p w14:paraId="36EF11AD"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C85F21E"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9A61B54"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4473225C" w14:textId="77777777" w:rsidR="003E73DC" w:rsidRDefault="00000000">
      <w:pPr>
        <w:widowControl/>
        <w:kinsoku w:val="0"/>
        <w:autoSpaceDE w:val="0"/>
        <w:autoSpaceDN w:val="0"/>
        <w:adjustRightInd w:val="0"/>
        <w:snapToGrid w:val="0"/>
        <w:spacing w:before="105" w:line="188" w:lineRule="auto"/>
        <w:ind w:firstLineChars="0" w:firstLine="1063"/>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30"/>
          <w:w w:val="94"/>
          <w:kern w:val="0"/>
          <w:sz w:val="32"/>
          <w:szCs w:val="32"/>
        </w:rPr>
        <w:t>项目单位：</w:t>
      </w:r>
      <w:r>
        <w:rPr>
          <w:rFonts w:ascii="黑体" w:eastAsia="黑体" w:hAnsi="黑体" w:cs="黑体"/>
          <w:snapToGrid w:val="0"/>
          <w:color w:val="000000"/>
          <w:kern w:val="0"/>
          <w:sz w:val="32"/>
          <w:szCs w:val="32"/>
          <w:u w:val="single"/>
        </w:rPr>
        <w:t xml:space="preserve">           </w:t>
      </w:r>
      <w:r>
        <w:rPr>
          <w:rFonts w:ascii="黑体" w:eastAsia="黑体" w:hAnsi="黑体" w:cs="黑体" w:hint="eastAsia"/>
          <w:snapToGrid w:val="0"/>
          <w:color w:val="000000"/>
          <w:kern w:val="0"/>
          <w:sz w:val="32"/>
          <w:szCs w:val="32"/>
          <w:u w:val="single"/>
        </w:rPr>
        <w:t>经济贸易发展局</w:t>
      </w:r>
      <w:r>
        <w:rPr>
          <w:rFonts w:ascii="黑体" w:eastAsia="黑体" w:hAnsi="黑体" w:cs="黑体"/>
          <w:snapToGrid w:val="0"/>
          <w:color w:val="000000"/>
          <w:kern w:val="0"/>
          <w:sz w:val="32"/>
          <w:szCs w:val="32"/>
          <w:u w:val="single"/>
        </w:rPr>
        <w:t xml:space="preserve">                                </w:t>
      </w:r>
    </w:p>
    <w:p w14:paraId="0FF9E9C8"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18A66A4"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359051E8"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7CA31130" w14:textId="77777777" w:rsidR="003E73DC" w:rsidRDefault="00000000">
      <w:pPr>
        <w:widowControl/>
        <w:kinsoku w:val="0"/>
        <w:autoSpaceDE w:val="0"/>
        <w:autoSpaceDN w:val="0"/>
        <w:adjustRightInd w:val="0"/>
        <w:snapToGrid w:val="0"/>
        <w:spacing w:before="104" w:line="188" w:lineRule="auto"/>
        <w:ind w:firstLineChars="0" w:firstLine="1068"/>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27"/>
          <w:w w:val="87"/>
          <w:kern w:val="0"/>
          <w:sz w:val="32"/>
          <w:szCs w:val="32"/>
        </w:rPr>
        <w:t>主管部门</w:t>
      </w:r>
      <w:r>
        <w:rPr>
          <w:rFonts w:ascii="黑体" w:eastAsia="黑体" w:hAnsi="黑体" w:cs="黑体"/>
          <w:snapToGrid w:val="0"/>
          <w:color w:val="000000"/>
          <w:spacing w:val="-23"/>
          <w:kern w:val="0"/>
          <w:sz w:val="32"/>
          <w:szCs w:val="32"/>
        </w:rPr>
        <w:t>：</w:t>
      </w:r>
      <w:r>
        <w:rPr>
          <w:rFonts w:ascii="黑体" w:eastAsia="黑体" w:hAnsi="黑体" w:cs="黑体"/>
          <w:snapToGrid w:val="0"/>
          <w:color w:val="000000"/>
          <w:spacing w:val="4"/>
          <w:kern w:val="0"/>
          <w:sz w:val="32"/>
          <w:szCs w:val="32"/>
          <w:u w:val="single"/>
        </w:rPr>
        <w:t xml:space="preserve">           </w:t>
      </w:r>
      <w:r>
        <w:rPr>
          <w:rFonts w:ascii="黑体" w:eastAsia="黑体" w:hAnsi="黑体" w:cs="黑体" w:hint="eastAsia"/>
          <w:snapToGrid w:val="0"/>
          <w:color w:val="000000"/>
          <w:kern w:val="0"/>
          <w:sz w:val="32"/>
          <w:szCs w:val="32"/>
          <w:u w:val="single"/>
        </w:rPr>
        <w:t>经济贸易发展局</w:t>
      </w:r>
      <w:r>
        <w:rPr>
          <w:rFonts w:ascii="黑体" w:eastAsia="黑体" w:hAnsi="黑体" w:cs="黑体"/>
          <w:snapToGrid w:val="0"/>
          <w:color w:val="000000"/>
          <w:spacing w:val="4"/>
          <w:kern w:val="0"/>
          <w:sz w:val="32"/>
          <w:szCs w:val="32"/>
          <w:u w:val="single"/>
        </w:rPr>
        <w:t xml:space="preserve">        </w:t>
      </w:r>
      <w:r>
        <w:rPr>
          <w:rFonts w:ascii="黑体" w:eastAsia="黑体" w:hAnsi="黑体" w:cs="黑体"/>
          <w:snapToGrid w:val="0"/>
          <w:color w:val="000000"/>
          <w:spacing w:val="-23"/>
          <w:kern w:val="0"/>
          <w:sz w:val="32"/>
          <w:szCs w:val="32"/>
          <w:u w:val="single"/>
        </w:rPr>
        <w:t>（</w:t>
      </w:r>
      <w:r>
        <w:rPr>
          <w:rFonts w:ascii="黑体" w:eastAsia="黑体" w:hAnsi="黑体" w:cs="黑体"/>
          <w:snapToGrid w:val="0"/>
          <w:color w:val="000000"/>
          <w:spacing w:val="-27"/>
          <w:w w:val="87"/>
          <w:kern w:val="0"/>
          <w:sz w:val="32"/>
          <w:szCs w:val="32"/>
          <w:u w:val="single"/>
        </w:rPr>
        <w:t>盖章）</w:t>
      </w:r>
      <w:r>
        <w:rPr>
          <w:rFonts w:ascii="黑体" w:eastAsia="黑体" w:hAnsi="黑体" w:cs="黑体"/>
          <w:snapToGrid w:val="0"/>
          <w:color w:val="000000"/>
          <w:spacing w:val="8"/>
          <w:kern w:val="0"/>
          <w:sz w:val="32"/>
          <w:szCs w:val="32"/>
          <w:u w:val="single"/>
        </w:rPr>
        <w:t xml:space="preserve">  </w:t>
      </w:r>
    </w:p>
    <w:p w14:paraId="16D756ED"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5E2E7892"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37D454E7"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67C9EFEB" w14:textId="77777777" w:rsidR="003E73DC" w:rsidRDefault="00000000">
      <w:pPr>
        <w:widowControl/>
        <w:kinsoku w:val="0"/>
        <w:autoSpaceDE w:val="0"/>
        <w:autoSpaceDN w:val="0"/>
        <w:adjustRightInd w:val="0"/>
        <w:snapToGrid w:val="0"/>
        <w:spacing w:before="104" w:line="188" w:lineRule="auto"/>
        <w:ind w:firstLineChars="0" w:firstLine="1062"/>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31"/>
          <w:w w:val="98"/>
          <w:kern w:val="0"/>
          <w:sz w:val="32"/>
          <w:szCs w:val="32"/>
        </w:rPr>
        <w:t>评价时间：</w:t>
      </w:r>
      <w:r>
        <w:rPr>
          <w:rFonts w:ascii="黑体" w:eastAsia="黑体" w:hAnsi="黑体" w:cs="黑体"/>
          <w:snapToGrid w:val="0"/>
          <w:color w:val="000000"/>
          <w:spacing w:val="14"/>
          <w:kern w:val="0"/>
          <w:sz w:val="32"/>
          <w:szCs w:val="32"/>
          <w:u w:val="single"/>
        </w:rPr>
        <w:t xml:space="preserve">  </w:t>
      </w:r>
      <w:r>
        <w:rPr>
          <w:rFonts w:ascii="黑体" w:eastAsia="黑体" w:hAnsi="黑体" w:cs="黑体" w:hint="eastAsia"/>
          <w:snapToGrid w:val="0"/>
          <w:color w:val="000000"/>
          <w:spacing w:val="14"/>
          <w:kern w:val="0"/>
          <w:sz w:val="32"/>
          <w:szCs w:val="32"/>
          <w:u w:val="single"/>
        </w:rPr>
        <w:t>2021</w:t>
      </w:r>
      <w:r>
        <w:rPr>
          <w:rFonts w:ascii="黑体" w:eastAsia="黑体" w:hAnsi="黑体" w:cs="黑体"/>
          <w:snapToGrid w:val="0"/>
          <w:color w:val="000000"/>
          <w:spacing w:val="14"/>
          <w:kern w:val="0"/>
          <w:sz w:val="32"/>
          <w:szCs w:val="32"/>
          <w:u w:val="single"/>
        </w:rPr>
        <w:t xml:space="preserve"> </w:t>
      </w:r>
      <w:r>
        <w:rPr>
          <w:rFonts w:ascii="黑体" w:eastAsia="黑体" w:hAnsi="黑体" w:cs="黑体"/>
          <w:snapToGrid w:val="0"/>
          <w:color w:val="000000"/>
          <w:spacing w:val="-31"/>
          <w:w w:val="98"/>
          <w:kern w:val="0"/>
          <w:sz w:val="32"/>
          <w:szCs w:val="32"/>
          <w:u w:val="single"/>
        </w:rPr>
        <w:t>年</w:t>
      </w:r>
      <w:r>
        <w:rPr>
          <w:rFonts w:ascii="黑体" w:eastAsia="黑体" w:hAnsi="黑体" w:cs="黑体" w:hint="eastAsia"/>
          <w:snapToGrid w:val="0"/>
          <w:color w:val="000000"/>
          <w:spacing w:val="-31"/>
          <w:w w:val="98"/>
          <w:kern w:val="0"/>
          <w:sz w:val="32"/>
          <w:szCs w:val="32"/>
          <w:u w:val="single"/>
        </w:rPr>
        <w:t xml:space="preserve"> 1</w:t>
      </w:r>
      <w:r>
        <w:rPr>
          <w:rFonts w:ascii="黑体" w:eastAsia="黑体" w:hAnsi="黑体" w:cs="黑体"/>
          <w:snapToGrid w:val="0"/>
          <w:color w:val="000000"/>
          <w:spacing w:val="7"/>
          <w:kern w:val="0"/>
          <w:sz w:val="32"/>
          <w:szCs w:val="32"/>
          <w:u w:val="single"/>
        </w:rPr>
        <w:t xml:space="preserve"> </w:t>
      </w:r>
      <w:r>
        <w:rPr>
          <w:rFonts w:ascii="黑体" w:eastAsia="黑体" w:hAnsi="黑体" w:cs="黑体"/>
          <w:snapToGrid w:val="0"/>
          <w:color w:val="000000"/>
          <w:spacing w:val="-31"/>
          <w:w w:val="98"/>
          <w:kern w:val="0"/>
          <w:sz w:val="32"/>
          <w:szCs w:val="32"/>
          <w:u w:val="single"/>
        </w:rPr>
        <w:t>月</w:t>
      </w:r>
      <w:r>
        <w:rPr>
          <w:rFonts w:ascii="黑体" w:eastAsia="黑体" w:hAnsi="黑体" w:cs="黑体"/>
          <w:snapToGrid w:val="0"/>
          <w:color w:val="000000"/>
          <w:spacing w:val="21"/>
          <w:kern w:val="0"/>
          <w:sz w:val="32"/>
          <w:szCs w:val="32"/>
          <w:u w:val="single"/>
        </w:rPr>
        <w:t xml:space="preserve"> </w:t>
      </w:r>
      <w:r>
        <w:rPr>
          <w:rFonts w:ascii="黑体" w:eastAsia="黑体" w:hAnsi="黑体" w:cs="黑体" w:hint="eastAsia"/>
          <w:snapToGrid w:val="0"/>
          <w:color w:val="000000"/>
          <w:spacing w:val="21"/>
          <w:kern w:val="0"/>
          <w:sz w:val="32"/>
          <w:szCs w:val="32"/>
          <w:u w:val="single"/>
        </w:rPr>
        <w:t>31</w:t>
      </w:r>
      <w:r>
        <w:rPr>
          <w:rFonts w:ascii="黑体" w:eastAsia="黑体" w:hAnsi="黑体" w:cs="黑体"/>
          <w:snapToGrid w:val="0"/>
          <w:color w:val="000000"/>
          <w:spacing w:val="-31"/>
          <w:w w:val="98"/>
          <w:kern w:val="0"/>
          <w:sz w:val="32"/>
          <w:szCs w:val="32"/>
          <w:u w:val="single"/>
        </w:rPr>
        <w:t>日至</w:t>
      </w:r>
      <w:r>
        <w:rPr>
          <w:rFonts w:ascii="黑体" w:eastAsia="黑体" w:hAnsi="黑体" w:cs="黑体" w:hint="eastAsia"/>
          <w:snapToGrid w:val="0"/>
          <w:color w:val="000000"/>
          <w:spacing w:val="-31"/>
          <w:w w:val="98"/>
          <w:kern w:val="0"/>
          <w:sz w:val="32"/>
          <w:szCs w:val="32"/>
          <w:u w:val="single"/>
        </w:rPr>
        <w:t xml:space="preserve">  2021</w:t>
      </w:r>
      <w:r>
        <w:rPr>
          <w:rFonts w:ascii="黑体" w:eastAsia="黑体" w:hAnsi="黑体" w:cs="黑体"/>
          <w:snapToGrid w:val="0"/>
          <w:color w:val="000000"/>
          <w:spacing w:val="3"/>
          <w:kern w:val="0"/>
          <w:sz w:val="32"/>
          <w:szCs w:val="32"/>
          <w:u w:val="single"/>
        </w:rPr>
        <w:t xml:space="preserve"> </w:t>
      </w:r>
      <w:r>
        <w:rPr>
          <w:rFonts w:ascii="黑体" w:eastAsia="黑体" w:hAnsi="黑体" w:cs="黑体"/>
          <w:snapToGrid w:val="0"/>
          <w:color w:val="000000"/>
          <w:spacing w:val="-31"/>
          <w:w w:val="98"/>
          <w:kern w:val="0"/>
          <w:sz w:val="32"/>
          <w:szCs w:val="32"/>
          <w:u w:val="single"/>
        </w:rPr>
        <w:t>年</w:t>
      </w:r>
      <w:r>
        <w:rPr>
          <w:rFonts w:ascii="黑体" w:eastAsia="黑体" w:hAnsi="黑体" w:cs="黑体"/>
          <w:snapToGrid w:val="0"/>
          <w:color w:val="000000"/>
          <w:spacing w:val="7"/>
          <w:kern w:val="0"/>
          <w:sz w:val="32"/>
          <w:szCs w:val="32"/>
          <w:u w:val="single"/>
        </w:rPr>
        <w:t xml:space="preserve"> </w:t>
      </w:r>
      <w:r>
        <w:rPr>
          <w:rFonts w:ascii="黑体" w:eastAsia="黑体" w:hAnsi="黑体" w:cs="黑体" w:hint="eastAsia"/>
          <w:snapToGrid w:val="0"/>
          <w:color w:val="000000"/>
          <w:spacing w:val="7"/>
          <w:kern w:val="0"/>
          <w:sz w:val="32"/>
          <w:szCs w:val="32"/>
          <w:u w:val="single"/>
        </w:rPr>
        <w:t>12</w:t>
      </w:r>
      <w:r>
        <w:rPr>
          <w:rFonts w:ascii="黑体" w:eastAsia="黑体" w:hAnsi="黑体" w:cs="黑体"/>
          <w:snapToGrid w:val="0"/>
          <w:color w:val="000000"/>
          <w:spacing w:val="7"/>
          <w:kern w:val="0"/>
          <w:sz w:val="32"/>
          <w:szCs w:val="32"/>
          <w:u w:val="single"/>
        </w:rPr>
        <w:t xml:space="preserve"> </w:t>
      </w:r>
      <w:r>
        <w:rPr>
          <w:rFonts w:ascii="黑体" w:eastAsia="黑体" w:hAnsi="黑体" w:cs="黑体"/>
          <w:snapToGrid w:val="0"/>
          <w:color w:val="000000"/>
          <w:spacing w:val="-31"/>
          <w:w w:val="98"/>
          <w:kern w:val="0"/>
          <w:sz w:val="32"/>
          <w:szCs w:val="32"/>
          <w:u w:val="single"/>
        </w:rPr>
        <w:t>月</w:t>
      </w:r>
      <w:r>
        <w:rPr>
          <w:rFonts w:ascii="黑体" w:eastAsia="黑体" w:hAnsi="黑体" w:cs="黑体"/>
          <w:snapToGrid w:val="0"/>
          <w:color w:val="000000"/>
          <w:spacing w:val="20"/>
          <w:kern w:val="0"/>
          <w:sz w:val="32"/>
          <w:szCs w:val="32"/>
          <w:u w:val="single"/>
        </w:rPr>
        <w:t xml:space="preserve"> </w:t>
      </w:r>
      <w:r>
        <w:rPr>
          <w:rFonts w:ascii="黑体" w:eastAsia="黑体" w:hAnsi="黑体" w:cs="黑体" w:hint="eastAsia"/>
          <w:snapToGrid w:val="0"/>
          <w:color w:val="000000"/>
          <w:spacing w:val="20"/>
          <w:kern w:val="0"/>
          <w:sz w:val="32"/>
          <w:szCs w:val="32"/>
          <w:u w:val="single"/>
        </w:rPr>
        <w:t>31</w:t>
      </w:r>
      <w:r>
        <w:rPr>
          <w:rFonts w:ascii="黑体" w:eastAsia="黑体" w:hAnsi="黑体" w:cs="黑体"/>
          <w:snapToGrid w:val="0"/>
          <w:color w:val="000000"/>
          <w:spacing w:val="-31"/>
          <w:w w:val="98"/>
          <w:kern w:val="0"/>
          <w:sz w:val="32"/>
          <w:szCs w:val="32"/>
          <w:u w:val="single"/>
        </w:rPr>
        <w:t>日</w:t>
      </w:r>
      <w:r>
        <w:rPr>
          <w:rFonts w:ascii="黑体" w:eastAsia="黑体" w:hAnsi="黑体" w:cs="黑体"/>
          <w:snapToGrid w:val="0"/>
          <w:color w:val="000000"/>
          <w:kern w:val="0"/>
          <w:sz w:val="32"/>
          <w:szCs w:val="32"/>
          <w:u w:val="single"/>
        </w:rPr>
        <w:t xml:space="preserve">     </w:t>
      </w:r>
    </w:p>
    <w:p w14:paraId="4905E795"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2921779"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399B365A"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1280F9C9" w14:textId="77777777" w:rsidR="003E73DC" w:rsidRDefault="00000000">
      <w:pPr>
        <w:widowControl/>
        <w:kinsoku w:val="0"/>
        <w:autoSpaceDE w:val="0"/>
        <w:autoSpaceDN w:val="0"/>
        <w:adjustRightInd w:val="0"/>
        <w:snapToGrid w:val="0"/>
        <w:spacing w:before="105" w:line="198" w:lineRule="auto"/>
        <w:ind w:firstLineChars="0" w:firstLine="1062"/>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9"/>
          <w:kern w:val="0"/>
          <w:sz w:val="32"/>
          <w:szCs w:val="32"/>
        </w:rPr>
        <w:t>评价机构：</w:t>
      </w:r>
      <w:r>
        <w:rPr>
          <w:rFonts w:ascii="黑体" w:eastAsia="黑体" w:hAnsi="黑体" w:cs="黑体" w:hint="eastAsia"/>
          <w:snapToGrid w:val="0"/>
          <w:color w:val="000000"/>
          <w:spacing w:val="2"/>
          <w:kern w:val="0"/>
          <w:sz w:val="32"/>
          <w:szCs w:val="32"/>
          <w:u w:val="single"/>
        </w:rPr>
        <w:t>√</w:t>
      </w:r>
      <w:r>
        <w:rPr>
          <w:rFonts w:ascii="黑体" w:eastAsia="黑体" w:hAnsi="黑体" w:cs="黑体"/>
          <w:snapToGrid w:val="0"/>
          <w:color w:val="000000"/>
          <w:spacing w:val="-9"/>
          <w:kern w:val="0"/>
          <w:sz w:val="32"/>
          <w:szCs w:val="32"/>
          <w:u w:val="single"/>
        </w:rPr>
        <w:t>第三方机构</w:t>
      </w:r>
      <w:r>
        <w:rPr>
          <w:rFonts w:ascii="黑体" w:eastAsia="黑体" w:hAnsi="黑体" w:cs="黑体"/>
          <w:snapToGrid w:val="0"/>
          <w:color w:val="000000"/>
          <w:spacing w:val="6"/>
          <w:kern w:val="0"/>
          <w:sz w:val="32"/>
          <w:szCs w:val="32"/>
          <w:u w:val="single"/>
        </w:rPr>
        <w:t xml:space="preserve">    </w:t>
      </w:r>
      <w:r>
        <w:rPr>
          <w:rFonts w:ascii="Arial" w:eastAsia="Arial" w:hAnsi="Arial" w:cs="Arial"/>
          <w:noProof/>
          <w:snapToGrid w:val="0"/>
          <w:color w:val="000000"/>
          <w:kern w:val="0"/>
          <w:position w:val="-6"/>
          <w:sz w:val="32"/>
          <w:szCs w:val="32"/>
        </w:rPr>
        <w:drawing>
          <wp:inline distT="0" distB="0" distL="0" distR="0" wp14:anchorId="0352618D" wp14:editId="0A7502DE">
            <wp:extent cx="146685" cy="21399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8"/>
                    <a:stretch>
                      <a:fillRect/>
                    </a:stretch>
                  </pic:blipFill>
                  <pic:spPr>
                    <a:xfrm>
                      <a:off x="0" y="0"/>
                      <a:ext cx="147097" cy="214440"/>
                    </a:xfrm>
                    <a:prstGeom prst="rect">
                      <a:avLst/>
                    </a:prstGeom>
                  </pic:spPr>
                </pic:pic>
              </a:graphicData>
            </a:graphic>
          </wp:inline>
        </w:drawing>
      </w:r>
      <w:r>
        <w:rPr>
          <w:rFonts w:ascii="黑体" w:eastAsia="黑体" w:hAnsi="黑体" w:cs="黑体"/>
          <w:snapToGrid w:val="0"/>
          <w:color w:val="000000"/>
          <w:spacing w:val="-9"/>
          <w:kern w:val="0"/>
          <w:sz w:val="32"/>
          <w:szCs w:val="32"/>
          <w:u w:val="single"/>
        </w:rPr>
        <w:t>专家组</w:t>
      </w:r>
      <w:r>
        <w:rPr>
          <w:rFonts w:ascii="黑体" w:eastAsia="黑体" w:hAnsi="黑体" w:cs="黑体"/>
          <w:snapToGrid w:val="0"/>
          <w:color w:val="000000"/>
          <w:spacing w:val="7"/>
          <w:kern w:val="0"/>
          <w:sz w:val="32"/>
          <w:szCs w:val="32"/>
          <w:u w:val="single"/>
        </w:rPr>
        <w:t xml:space="preserve">    </w:t>
      </w:r>
      <w:r>
        <w:rPr>
          <w:rFonts w:ascii="Arial" w:eastAsia="Arial" w:hAnsi="Arial" w:cs="Arial"/>
          <w:noProof/>
          <w:snapToGrid w:val="0"/>
          <w:color w:val="000000"/>
          <w:kern w:val="0"/>
          <w:position w:val="-6"/>
          <w:sz w:val="32"/>
          <w:szCs w:val="32"/>
        </w:rPr>
        <w:drawing>
          <wp:inline distT="0" distB="0" distL="0" distR="0" wp14:anchorId="45FBAB4F" wp14:editId="62E7CA0F">
            <wp:extent cx="146685" cy="21399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
                    <a:stretch>
                      <a:fillRect/>
                    </a:stretch>
                  </pic:blipFill>
                  <pic:spPr>
                    <a:xfrm>
                      <a:off x="0" y="0"/>
                      <a:ext cx="147097" cy="214440"/>
                    </a:xfrm>
                    <a:prstGeom prst="rect">
                      <a:avLst/>
                    </a:prstGeom>
                  </pic:spPr>
                </pic:pic>
              </a:graphicData>
            </a:graphic>
          </wp:inline>
        </w:drawing>
      </w:r>
      <w:r>
        <w:rPr>
          <w:rFonts w:ascii="黑体" w:eastAsia="黑体" w:hAnsi="黑体" w:cs="黑体"/>
          <w:snapToGrid w:val="0"/>
          <w:color w:val="000000"/>
          <w:spacing w:val="-9"/>
          <w:kern w:val="0"/>
          <w:sz w:val="32"/>
          <w:szCs w:val="32"/>
          <w:u w:val="single"/>
        </w:rPr>
        <w:t>部门评价组</w:t>
      </w:r>
      <w:r>
        <w:rPr>
          <w:rFonts w:ascii="黑体" w:eastAsia="黑体" w:hAnsi="黑体" w:cs="黑体"/>
          <w:snapToGrid w:val="0"/>
          <w:color w:val="000000"/>
          <w:kern w:val="0"/>
          <w:sz w:val="32"/>
          <w:szCs w:val="32"/>
          <w:u w:val="single"/>
        </w:rPr>
        <w:t xml:space="preserve">  </w:t>
      </w:r>
    </w:p>
    <w:p w14:paraId="78FB4B63" w14:textId="77777777" w:rsidR="003E73DC" w:rsidRDefault="003E73DC">
      <w:pPr>
        <w:widowControl/>
        <w:kinsoku w:val="0"/>
        <w:autoSpaceDE w:val="0"/>
        <w:autoSpaceDN w:val="0"/>
        <w:adjustRightInd w:val="0"/>
        <w:snapToGrid w:val="0"/>
        <w:spacing w:line="246" w:lineRule="auto"/>
        <w:ind w:firstLineChars="0" w:firstLine="0"/>
        <w:jc w:val="left"/>
        <w:textAlignment w:val="baseline"/>
        <w:rPr>
          <w:rFonts w:ascii="Arial" w:eastAsia="Arial" w:hAnsi="Arial" w:cs="Arial"/>
          <w:snapToGrid w:val="0"/>
          <w:color w:val="000000"/>
          <w:kern w:val="0"/>
          <w:sz w:val="21"/>
          <w:szCs w:val="21"/>
        </w:rPr>
      </w:pPr>
    </w:p>
    <w:p w14:paraId="5B881E15" w14:textId="77777777" w:rsidR="003E73DC" w:rsidRDefault="00000000">
      <w:pPr>
        <w:ind w:firstLine="723"/>
        <w:rPr>
          <w:rFonts w:ascii="宋体" w:hAnsi="宋体" w:cs="Arial"/>
          <w:b/>
          <w:bCs/>
          <w:sz w:val="36"/>
          <w:szCs w:val="36"/>
        </w:rPr>
      </w:pPr>
      <w:r>
        <w:rPr>
          <w:rFonts w:ascii="宋体" w:hAnsi="宋体" w:cs="Arial" w:hint="eastAsia"/>
          <w:b/>
          <w:bCs/>
          <w:sz w:val="36"/>
          <w:szCs w:val="36"/>
        </w:rPr>
        <w:t xml:space="preserve">  </w:t>
      </w:r>
    </w:p>
    <w:p w14:paraId="0FF6F50E" w14:textId="77777777" w:rsidR="003E73DC" w:rsidRDefault="003E73DC">
      <w:pPr>
        <w:ind w:firstLine="723"/>
        <w:jc w:val="center"/>
        <w:rPr>
          <w:rFonts w:ascii="宋体" w:hAnsi="宋体" w:cs="Arial"/>
          <w:b/>
          <w:bCs/>
          <w:sz w:val="36"/>
          <w:szCs w:val="36"/>
        </w:rPr>
      </w:pPr>
    </w:p>
    <w:p w14:paraId="1023E35E" w14:textId="77777777" w:rsidR="003E73DC" w:rsidRDefault="00000000">
      <w:pPr>
        <w:ind w:firstLine="723"/>
        <w:jc w:val="center"/>
        <w:rPr>
          <w:rFonts w:ascii="宋体" w:hAnsi="宋体" w:cs="Arial"/>
          <w:b/>
          <w:bCs/>
          <w:sz w:val="36"/>
          <w:szCs w:val="36"/>
        </w:rPr>
      </w:pPr>
      <w:r>
        <w:rPr>
          <w:rFonts w:ascii="宋体" w:hAnsi="宋体" w:cs="Arial" w:hint="eastAsia"/>
          <w:b/>
          <w:bCs/>
          <w:sz w:val="36"/>
          <w:szCs w:val="36"/>
        </w:rPr>
        <w:t>2022年5月19日</w:t>
      </w:r>
    </w:p>
    <w:p w14:paraId="4BD6595A" w14:textId="77777777" w:rsidR="003E73DC" w:rsidRDefault="00000000">
      <w:pPr>
        <w:ind w:firstLine="723"/>
        <w:rPr>
          <w:rFonts w:ascii="仿宋_GB2312"/>
          <w:szCs w:val="30"/>
        </w:rPr>
      </w:pPr>
      <w:r>
        <w:rPr>
          <w:rFonts w:ascii="宋体" w:hAnsi="宋体" w:cs="Arial" w:hint="eastAsia"/>
          <w:b/>
          <w:bCs/>
          <w:sz w:val="36"/>
          <w:szCs w:val="36"/>
        </w:rPr>
        <w:br w:type="page"/>
      </w:r>
    </w:p>
    <w:p w14:paraId="792EA11E" w14:textId="77777777" w:rsidR="003E73DC" w:rsidRDefault="003E73DC">
      <w:pPr>
        <w:ind w:firstLine="643"/>
        <w:jc w:val="center"/>
        <w:rPr>
          <w:rFonts w:ascii="黑体" w:eastAsia="黑体" w:hAnsi="黑体" w:cs="黑体"/>
          <w:b/>
          <w:bCs/>
          <w:sz w:val="32"/>
          <w:szCs w:val="32"/>
        </w:rPr>
        <w:sectPr w:rsidR="003E73DC">
          <w:headerReference w:type="default" r:id="rId9"/>
          <w:pgSz w:w="11906" w:h="16838"/>
          <w:pgMar w:top="1928" w:right="1531" w:bottom="1701" w:left="1531" w:header="737" w:footer="851" w:gutter="0"/>
          <w:cols w:space="720"/>
          <w:docGrid w:type="lines" w:linePitch="408"/>
        </w:sectPr>
      </w:pPr>
    </w:p>
    <w:sdt>
      <w:sdtPr>
        <w:rPr>
          <w:rFonts w:ascii="宋体" w:hAnsi="宋体"/>
          <w:sz w:val="21"/>
        </w:rPr>
        <w:id w:val="147461641"/>
        <w15:color w:val="DBDBDB"/>
        <w:docPartObj>
          <w:docPartGallery w:val="Table of Contents"/>
          <w:docPartUnique/>
        </w:docPartObj>
      </w:sdtPr>
      <w:sdtEndPr>
        <w:rPr>
          <w:rFonts w:asciiTheme="majorEastAsia" w:eastAsiaTheme="majorEastAsia" w:hAnsiTheme="majorEastAsia" w:cstheme="majorEastAsia" w:hint="eastAsia"/>
          <w:bCs/>
          <w:sz w:val="28"/>
          <w:szCs w:val="32"/>
        </w:rPr>
      </w:sdtEndPr>
      <w:sdtContent>
        <w:p w14:paraId="0CE7EA6C" w14:textId="77777777" w:rsidR="003E73DC" w:rsidRDefault="00000000">
          <w:pPr>
            <w:spacing w:line="240" w:lineRule="auto"/>
            <w:ind w:firstLineChars="0" w:firstLine="0"/>
            <w:jc w:val="center"/>
            <w:rPr>
              <w:rFonts w:asciiTheme="majorEastAsia" w:eastAsiaTheme="majorEastAsia" w:hAnsiTheme="majorEastAsia" w:cstheme="majorEastAsia"/>
              <w:b/>
              <w:bCs/>
              <w:szCs w:val="28"/>
            </w:rPr>
          </w:pPr>
          <w:r>
            <w:rPr>
              <w:rFonts w:asciiTheme="majorEastAsia" w:eastAsiaTheme="majorEastAsia" w:hAnsiTheme="majorEastAsia" w:cstheme="majorEastAsia" w:hint="eastAsia"/>
              <w:b/>
              <w:bCs/>
              <w:szCs w:val="28"/>
            </w:rPr>
            <w:t>目 录</w:t>
          </w:r>
        </w:p>
        <w:p w14:paraId="3818E1B7"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sz w:val="24"/>
            </w:rPr>
            <w:fldChar w:fldCharType="begin"/>
          </w:r>
          <w:r>
            <w:rPr>
              <w:rFonts w:asciiTheme="majorEastAsia" w:eastAsiaTheme="majorEastAsia" w:hAnsiTheme="majorEastAsia" w:cstheme="majorEastAsia" w:hint="eastAsia"/>
              <w:b/>
              <w:bCs/>
              <w:sz w:val="24"/>
            </w:rPr>
            <w:instrText xml:space="preserve">TOC \o "1-1" \h \u </w:instrText>
          </w:r>
          <w:r>
            <w:rPr>
              <w:rFonts w:asciiTheme="majorEastAsia" w:eastAsiaTheme="majorEastAsia" w:hAnsiTheme="majorEastAsia" w:cstheme="majorEastAsia" w:hint="eastAsia"/>
              <w:b/>
              <w:bCs/>
              <w:sz w:val="24"/>
            </w:rPr>
            <w:fldChar w:fldCharType="separate"/>
          </w:r>
          <w:hyperlink w:anchor="_Toc32260" w:history="1">
            <w:r>
              <w:rPr>
                <w:rFonts w:asciiTheme="majorEastAsia" w:eastAsiaTheme="majorEastAsia" w:hAnsiTheme="majorEastAsia" w:cstheme="majorEastAsia" w:hint="eastAsia"/>
                <w:bCs/>
                <w:szCs w:val="32"/>
              </w:rPr>
              <w:t>前  言</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_Toc32260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hyperlink>
        </w:p>
        <w:p w14:paraId="2D97F0F7"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20760" w:history="1">
            <w:r>
              <w:rPr>
                <w:rFonts w:asciiTheme="majorEastAsia" w:eastAsiaTheme="majorEastAsia" w:hAnsiTheme="majorEastAsia" w:cstheme="majorEastAsia" w:hint="eastAsia"/>
                <w:szCs w:val="36"/>
              </w:rPr>
              <w:t>一、基本情况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_Toc20760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3903F226"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23684" w:history="1">
            <w:r>
              <w:rPr>
                <w:rFonts w:asciiTheme="majorEastAsia" w:eastAsiaTheme="majorEastAsia" w:hAnsiTheme="majorEastAsia" w:cstheme="majorEastAsia" w:hint="eastAsia"/>
              </w:rPr>
              <w:t>（一）</w:t>
            </w:r>
            <w:r>
              <w:rPr>
                <w:rFonts w:asciiTheme="majorEastAsia" w:eastAsiaTheme="majorEastAsia" w:hAnsiTheme="majorEastAsia" w:cstheme="majorEastAsia" w:hint="eastAsia"/>
                <w:bCs/>
              </w:rPr>
              <w:t>项目</w:t>
            </w:r>
            <w:r>
              <w:rPr>
                <w:rFonts w:asciiTheme="majorEastAsia" w:eastAsiaTheme="majorEastAsia" w:hAnsiTheme="majorEastAsia" w:cstheme="majorEastAsia" w:hint="eastAsia"/>
              </w:rPr>
              <w:t>概况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_Toc23684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676D5B0B"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3507" w:history="1">
            <w:r>
              <w:rPr>
                <w:rFonts w:asciiTheme="majorEastAsia" w:eastAsiaTheme="majorEastAsia" w:hAnsiTheme="majorEastAsia" w:cstheme="majorEastAsia" w:hint="eastAsia"/>
              </w:rPr>
              <w:t>1、项目背景</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_Toc3507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694A9A86"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7037" w:history="1">
            <w:r>
              <w:rPr>
                <w:rFonts w:asciiTheme="majorEastAsia" w:eastAsiaTheme="majorEastAsia" w:hAnsiTheme="majorEastAsia" w:cstheme="majorEastAsia" w:hint="eastAsia"/>
              </w:rPr>
              <w:t>2、主要内容及实施情况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_Toc7037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6E16E53D"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31501" w:history="1">
            <w:r>
              <w:rPr>
                <w:rFonts w:asciiTheme="majorEastAsia" w:eastAsiaTheme="majorEastAsia" w:hAnsiTheme="majorEastAsia" w:cstheme="majorEastAsia" w:hint="eastAsia"/>
              </w:rPr>
              <w:t>3、资金投入和使用情况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_Toc31501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fldChar w:fldCharType="end"/>
            </w:r>
          </w:hyperlink>
        </w:p>
        <w:p w14:paraId="7F6537D6"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5046" w:history="1">
            <w:r>
              <w:rPr>
                <w:rFonts w:asciiTheme="majorEastAsia" w:eastAsiaTheme="majorEastAsia" w:hAnsiTheme="majorEastAsia" w:cstheme="majorEastAsia" w:hint="eastAsia"/>
              </w:rPr>
              <w:t>（二）项目绩效目标</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_Toc15046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fldChar w:fldCharType="end"/>
            </w:r>
          </w:hyperlink>
        </w:p>
        <w:p w14:paraId="691C157C"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13516" w:history="1">
            <w:r>
              <w:rPr>
                <w:rFonts w:asciiTheme="majorEastAsia" w:eastAsiaTheme="majorEastAsia" w:hAnsiTheme="majorEastAsia" w:cstheme="majorEastAsia" w:hint="eastAsia"/>
                <w:bCs/>
              </w:rPr>
              <w:t>1、总体目标</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_Toc13516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3</w:t>
            </w:r>
            <w:r>
              <w:rPr>
                <w:rFonts w:asciiTheme="majorEastAsia" w:eastAsiaTheme="majorEastAsia" w:hAnsiTheme="majorEastAsia" w:cstheme="majorEastAsia" w:hint="eastAsia"/>
                <w:bCs/>
              </w:rPr>
              <w:fldChar w:fldCharType="end"/>
            </w:r>
          </w:hyperlink>
        </w:p>
        <w:p w14:paraId="757122EA"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24023" w:history="1">
            <w:r>
              <w:rPr>
                <w:rFonts w:asciiTheme="majorEastAsia" w:eastAsiaTheme="majorEastAsia" w:hAnsiTheme="majorEastAsia" w:cstheme="majorEastAsia" w:hint="eastAsia"/>
                <w:bCs/>
              </w:rPr>
              <w:t>2、阶段性目标</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_Toc24023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3</w:t>
            </w:r>
            <w:r>
              <w:rPr>
                <w:rFonts w:asciiTheme="majorEastAsia" w:eastAsiaTheme="majorEastAsia" w:hAnsiTheme="majorEastAsia" w:cstheme="majorEastAsia" w:hint="eastAsia"/>
                <w:bCs/>
              </w:rPr>
              <w:fldChar w:fldCharType="end"/>
            </w:r>
          </w:hyperlink>
        </w:p>
        <w:p w14:paraId="1055684B"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5456" w:history="1">
            <w:r>
              <w:rPr>
                <w:rFonts w:asciiTheme="majorEastAsia" w:eastAsiaTheme="majorEastAsia" w:hAnsiTheme="majorEastAsia" w:cstheme="majorEastAsia" w:hint="eastAsia"/>
              </w:rPr>
              <w:t>二、绩效评价工作开展情况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_Toc5456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fldChar w:fldCharType="end"/>
            </w:r>
          </w:hyperlink>
        </w:p>
        <w:p w14:paraId="378EAD55"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2107" w:history="1">
            <w:r>
              <w:rPr>
                <w:rFonts w:asciiTheme="majorEastAsia" w:eastAsiaTheme="majorEastAsia" w:hAnsiTheme="majorEastAsia" w:cstheme="majorEastAsia" w:hint="eastAsia"/>
              </w:rPr>
              <w:t>（一）绩效评价目的、对象和范围</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_Toc12107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fldChar w:fldCharType="end"/>
            </w:r>
          </w:hyperlink>
        </w:p>
        <w:p w14:paraId="779C7689"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22421" w:history="1">
            <w:r>
              <w:rPr>
                <w:rFonts w:asciiTheme="majorEastAsia" w:eastAsiaTheme="majorEastAsia" w:hAnsiTheme="majorEastAsia" w:cstheme="majorEastAsia" w:hint="eastAsia"/>
                <w:bCs/>
              </w:rPr>
              <w:t>1、绩效评价的目的</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_Toc22421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4</w:t>
            </w:r>
            <w:r>
              <w:rPr>
                <w:rFonts w:asciiTheme="majorEastAsia" w:eastAsiaTheme="majorEastAsia" w:hAnsiTheme="majorEastAsia" w:cstheme="majorEastAsia" w:hint="eastAsia"/>
                <w:bCs/>
              </w:rPr>
              <w:fldChar w:fldCharType="end"/>
            </w:r>
          </w:hyperlink>
        </w:p>
        <w:p w14:paraId="487C4BBF"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5560" w:history="1">
            <w:r>
              <w:rPr>
                <w:rFonts w:asciiTheme="majorEastAsia" w:eastAsiaTheme="majorEastAsia" w:hAnsiTheme="majorEastAsia" w:cstheme="majorEastAsia" w:hint="eastAsia"/>
                <w:bCs/>
              </w:rPr>
              <w:t>2、绩效评价的对象和范围</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_Toc5560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4</w:t>
            </w:r>
            <w:r>
              <w:rPr>
                <w:rFonts w:asciiTheme="majorEastAsia" w:eastAsiaTheme="majorEastAsia" w:hAnsiTheme="majorEastAsia" w:cstheme="majorEastAsia" w:hint="eastAsia"/>
                <w:bCs/>
              </w:rPr>
              <w:fldChar w:fldCharType="end"/>
            </w:r>
          </w:hyperlink>
        </w:p>
        <w:p w14:paraId="6372C077"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0557" w:history="1">
            <w:r>
              <w:rPr>
                <w:rFonts w:asciiTheme="majorEastAsia" w:eastAsiaTheme="majorEastAsia" w:hAnsiTheme="majorEastAsia" w:cstheme="majorEastAsia" w:hint="eastAsia"/>
              </w:rPr>
              <w:t>（二）</w:t>
            </w:r>
            <w:r>
              <w:rPr>
                <w:rFonts w:asciiTheme="majorEastAsia" w:eastAsiaTheme="majorEastAsia" w:hAnsiTheme="majorEastAsia" w:cstheme="majorEastAsia" w:hint="eastAsia"/>
                <w:bCs/>
              </w:rPr>
              <w:t>绩效</w:t>
            </w:r>
            <w:r>
              <w:rPr>
                <w:rFonts w:asciiTheme="majorEastAsia" w:eastAsiaTheme="majorEastAsia" w:hAnsiTheme="majorEastAsia" w:cstheme="majorEastAsia" w:hint="eastAsia"/>
              </w:rPr>
              <w:t>评价原则、评价指标体系（附表说明）、评价方法、评价标准等。</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_Toc10557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fldChar w:fldCharType="end"/>
            </w:r>
          </w:hyperlink>
        </w:p>
        <w:p w14:paraId="444E8C84"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27663" w:history="1">
            <w:r>
              <w:rPr>
                <w:rFonts w:asciiTheme="majorEastAsia" w:eastAsiaTheme="majorEastAsia" w:hAnsiTheme="majorEastAsia" w:cstheme="majorEastAsia" w:hint="eastAsia"/>
                <w:bCs/>
              </w:rPr>
              <w:t>1、绩效评价的原则</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_Toc27663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5</w:t>
            </w:r>
            <w:r>
              <w:rPr>
                <w:rFonts w:asciiTheme="majorEastAsia" w:eastAsiaTheme="majorEastAsia" w:hAnsiTheme="majorEastAsia" w:cstheme="majorEastAsia" w:hint="eastAsia"/>
                <w:bCs/>
              </w:rPr>
              <w:fldChar w:fldCharType="end"/>
            </w:r>
          </w:hyperlink>
        </w:p>
        <w:p w14:paraId="14718464"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13802" w:history="1">
            <w:r>
              <w:rPr>
                <w:rFonts w:asciiTheme="majorEastAsia" w:eastAsiaTheme="majorEastAsia" w:hAnsiTheme="majorEastAsia" w:cstheme="majorEastAsia" w:hint="eastAsia"/>
                <w:bCs/>
              </w:rPr>
              <w:t>2、评价指标体系</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_Toc13802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5</w:t>
            </w:r>
            <w:r>
              <w:rPr>
                <w:rFonts w:asciiTheme="majorEastAsia" w:eastAsiaTheme="majorEastAsia" w:hAnsiTheme="majorEastAsia" w:cstheme="majorEastAsia" w:hint="eastAsia"/>
                <w:bCs/>
              </w:rPr>
              <w:fldChar w:fldCharType="end"/>
            </w:r>
          </w:hyperlink>
        </w:p>
        <w:p w14:paraId="61F09B09"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16918" w:history="1">
            <w:r>
              <w:rPr>
                <w:rFonts w:asciiTheme="majorEastAsia" w:eastAsiaTheme="majorEastAsia" w:hAnsiTheme="majorEastAsia" w:cstheme="majorEastAsia" w:hint="eastAsia"/>
                <w:bCs/>
              </w:rPr>
              <w:t>3、评价方法</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_Toc16918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6</w:t>
            </w:r>
            <w:r>
              <w:rPr>
                <w:rFonts w:asciiTheme="majorEastAsia" w:eastAsiaTheme="majorEastAsia" w:hAnsiTheme="majorEastAsia" w:cstheme="majorEastAsia" w:hint="eastAsia"/>
                <w:bCs/>
              </w:rPr>
              <w:fldChar w:fldCharType="end"/>
            </w:r>
          </w:hyperlink>
        </w:p>
        <w:p w14:paraId="667896A3"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15942" w:history="1">
            <w:r>
              <w:rPr>
                <w:rFonts w:asciiTheme="majorEastAsia" w:eastAsiaTheme="majorEastAsia" w:hAnsiTheme="majorEastAsia" w:cstheme="majorEastAsia" w:hint="eastAsia"/>
                <w:bCs/>
              </w:rPr>
              <w:t>4、评价标准</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_Toc15942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7</w:t>
            </w:r>
            <w:r>
              <w:rPr>
                <w:rFonts w:asciiTheme="majorEastAsia" w:eastAsiaTheme="majorEastAsia" w:hAnsiTheme="majorEastAsia" w:cstheme="majorEastAsia" w:hint="eastAsia"/>
                <w:bCs/>
              </w:rPr>
              <w:fldChar w:fldCharType="end"/>
            </w:r>
          </w:hyperlink>
        </w:p>
        <w:p w14:paraId="3B37DA69"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3532" w:history="1">
            <w:r>
              <w:rPr>
                <w:rFonts w:asciiTheme="majorEastAsia" w:eastAsiaTheme="majorEastAsia" w:hAnsiTheme="majorEastAsia" w:cstheme="majorEastAsia" w:hint="eastAsia"/>
              </w:rPr>
              <w:t>（三）</w:t>
            </w:r>
            <w:r>
              <w:rPr>
                <w:rFonts w:asciiTheme="majorEastAsia" w:eastAsiaTheme="majorEastAsia" w:hAnsiTheme="majorEastAsia" w:cstheme="majorEastAsia" w:hint="eastAsia"/>
                <w:bCs/>
              </w:rPr>
              <w:t>绩效</w:t>
            </w:r>
            <w:r>
              <w:rPr>
                <w:rFonts w:asciiTheme="majorEastAsia" w:eastAsiaTheme="majorEastAsia" w:hAnsiTheme="majorEastAsia" w:cstheme="majorEastAsia" w:hint="eastAsia"/>
              </w:rPr>
              <w:t>评价工作过程</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_Toc3532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8</w:t>
            </w:r>
            <w:r>
              <w:rPr>
                <w:rFonts w:asciiTheme="majorEastAsia" w:eastAsiaTheme="majorEastAsia" w:hAnsiTheme="majorEastAsia" w:cstheme="majorEastAsia" w:hint="eastAsia"/>
              </w:rPr>
              <w:fldChar w:fldCharType="end"/>
            </w:r>
          </w:hyperlink>
        </w:p>
        <w:p w14:paraId="68C2B6E6"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8299" w:history="1">
            <w:r>
              <w:rPr>
                <w:rFonts w:asciiTheme="majorEastAsia" w:eastAsiaTheme="majorEastAsia" w:hAnsiTheme="majorEastAsia" w:cstheme="majorEastAsia" w:hint="eastAsia"/>
                <w:bCs/>
              </w:rPr>
              <w:t>1、绩效评价的业务流程</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_Toc8299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8</w:t>
            </w:r>
            <w:r>
              <w:rPr>
                <w:rFonts w:asciiTheme="majorEastAsia" w:eastAsiaTheme="majorEastAsia" w:hAnsiTheme="majorEastAsia" w:cstheme="majorEastAsia" w:hint="eastAsia"/>
                <w:bCs/>
              </w:rPr>
              <w:fldChar w:fldCharType="end"/>
            </w:r>
          </w:hyperlink>
        </w:p>
        <w:p w14:paraId="10EF7DB5"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15528" w:history="1">
            <w:r>
              <w:rPr>
                <w:rFonts w:asciiTheme="majorEastAsia" w:eastAsiaTheme="majorEastAsia" w:hAnsiTheme="majorEastAsia" w:cstheme="majorEastAsia" w:hint="eastAsia"/>
                <w:bCs/>
              </w:rPr>
              <w:t>2、形成绩效评价报告</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_Toc15528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10</w:t>
            </w:r>
            <w:r>
              <w:rPr>
                <w:rFonts w:asciiTheme="majorEastAsia" w:eastAsiaTheme="majorEastAsia" w:hAnsiTheme="majorEastAsia" w:cstheme="majorEastAsia" w:hint="eastAsia"/>
                <w:bCs/>
              </w:rPr>
              <w:fldChar w:fldCharType="end"/>
            </w:r>
          </w:hyperlink>
        </w:p>
        <w:p w14:paraId="4EB64EA9"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9365" w:history="1">
            <w:r>
              <w:rPr>
                <w:rFonts w:asciiTheme="majorEastAsia" w:eastAsiaTheme="majorEastAsia" w:hAnsiTheme="majorEastAsia" w:cstheme="majorEastAsia" w:hint="eastAsia"/>
              </w:rPr>
              <w:t>三、</w:t>
            </w:r>
            <w:r>
              <w:rPr>
                <w:rFonts w:asciiTheme="majorEastAsia" w:eastAsiaTheme="majorEastAsia" w:hAnsiTheme="majorEastAsia" w:cstheme="majorEastAsia" w:hint="eastAsia"/>
                <w:bCs/>
              </w:rPr>
              <w:t>综合评价情况及评价结论</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_Toc9365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fldChar w:fldCharType="end"/>
            </w:r>
          </w:hyperlink>
        </w:p>
        <w:p w14:paraId="42F4954B"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9475" w:history="1">
            <w:r>
              <w:rPr>
                <w:rFonts w:asciiTheme="majorEastAsia" w:eastAsiaTheme="majorEastAsia" w:hAnsiTheme="majorEastAsia" w:cstheme="majorEastAsia" w:hint="eastAsia"/>
              </w:rPr>
              <w:t>（一）</w:t>
            </w:r>
            <w:r>
              <w:rPr>
                <w:rFonts w:asciiTheme="majorEastAsia" w:eastAsiaTheme="majorEastAsia" w:hAnsiTheme="majorEastAsia" w:cstheme="majorEastAsia" w:hint="eastAsia"/>
                <w:bCs/>
              </w:rPr>
              <w:t>综合</w:t>
            </w:r>
            <w:r>
              <w:rPr>
                <w:rFonts w:asciiTheme="majorEastAsia" w:eastAsiaTheme="majorEastAsia" w:hAnsiTheme="majorEastAsia" w:cstheme="majorEastAsia" w:hint="eastAsia"/>
              </w:rPr>
              <w:t>评价情况及其结论</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_Toc19475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fldChar w:fldCharType="end"/>
            </w:r>
          </w:hyperlink>
        </w:p>
        <w:p w14:paraId="3C10274D"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14392" w:history="1">
            <w:r>
              <w:rPr>
                <w:rFonts w:asciiTheme="majorEastAsia" w:eastAsiaTheme="majorEastAsia" w:hAnsiTheme="majorEastAsia" w:cstheme="majorEastAsia" w:hint="eastAsia"/>
              </w:rPr>
              <w:t>四、绩效评价指标分析</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_Toc14392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fldChar w:fldCharType="end"/>
            </w:r>
          </w:hyperlink>
        </w:p>
        <w:p w14:paraId="52C092A2" w14:textId="77777777" w:rsidR="003E73DC" w:rsidRDefault="00000000">
          <w:pPr>
            <w:pStyle w:val="TOC1"/>
            <w:tabs>
              <w:tab w:val="right" w:leader="dot" w:pos="8844"/>
            </w:tabs>
            <w:ind w:firstLineChars="100" w:firstLine="280"/>
            <w:rPr>
              <w:rFonts w:asciiTheme="majorEastAsia" w:eastAsiaTheme="majorEastAsia" w:hAnsiTheme="majorEastAsia" w:cstheme="majorEastAsia"/>
              <w:bCs/>
            </w:rPr>
          </w:pPr>
          <w:hyperlink w:anchor="_Toc2714" w:history="1">
            <w:r>
              <w:rPr>
                <w:rFonts w:asciiTheme="majorEastAsia" w:eastAsiaTheme="majorEastAsia" w:hAnsiTheme="majorEastAsia" w:cstheme="majorEastAsia" w:hint="eastAsia"/>
                <w:bCs/>
              </w:rPr>
              <w:t>（一）项目决策情况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_Toc2714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11</w:t>
            </w:r>
            <w:r>
              <w:rPr>
                <w:rFonts w:asciiTheme="majorEastAsia" w:eastAsiaTheme="majorEastAsia" w:hAnsiTheme="majorEastAsia" w:cstheme="majorEastAsia" w:hint="eastAsia"/>
                <w:bCs/>
              </w:rPr>
              <w:fldChar w:fldCharType="end"/>
            </w:r>
          </w:hyperlink>
        </w:p>
        <w:p w14:paraId="40C62CA4" w14:textId="77777777" w:rsidR="003E73DC" w:rsidRDefault="00000000">
          <w:pPr>
            <w:pStyle w:val="TOC1"/>
            <w:tabs>
              <w:tab w:val="right" w:leader="dot" w:pos="8844"/>
            </w:tabs>
            <w:ind w:firstLineChars="100" w:firstLine="280"/>
            <w:rPr>
              <w:rFonts w:asciiTheme="majorEastAsia" w:eastAsiaTheme="majorEastAsia" w:hAnsiTheme="majorEastAsia" w:cstheme="majorEastAsia"/>
              <w:bCs/>
            </w:rPr>
          </w:pPr>
          <w:hyperlink w:anchor="_Toc21234" w:history="1">
            <w:r>
              <w:rPr>
                <w:rFonts w:asciiTheme="majorEastAsia" w:eastAsiaTheme="majorEastAsia" w:hAnsiTheme="majorEastAsia" w:cstheme="majorEastAsia" w:hint="eastAsia"/>
                <w:bCs/>
              </w:rPr>
              <w:t>（二）项目过程情况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_Toc21234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12</w:t>
            </w:r>
            <w:r>
              <w:rPr>
                <w:rFonts w:asciiTheme="majorEastAsia" w:eastAsiaTheme="majorEastAsia" w:hAnsiTheme="majorEastAsia" w:cstheme="majorEastAsia" w:hint="eastAsia"/>
                <w:bCs/>
              </w:rPr>
              <w:fldChar w:fldCharType="end"/>
            </w:r>
          </w:hyperlink>
        </w:p>
        <w:p w14:paraId="0DAB569D" w14:textId="77777777" w:rsidR="003E73DC" w:rsidRDefault="00000000">
          <w:pPr>
            <w:pStyle w:val="TOC1"/>
            <w:tabs>
              <w:tab w:val="right" w:leader="dot" w:pos="8844"/>
            </w:tabs>
            <w:ind w:firstLineChars="100" w:firstLine="280"/>
            <w:rPr>
              <w:rFonts w:asciiTheme="majorEastAsia" w:eastAsiaTheme="majorEastAsia" w:hAnsiTheme="majorEastAsia" w:cstheme="majorEastAsia"/>
              <w:bCs/>
            </w:rPr>
          </w:pPr>
          <w:hyperlink w:anchor="_Toc28572" w:history="1">
            <w:r>
              <w:rPr>
                <w:rFonts w:asciiTheme="majorEastAsia" w:eastAsiaTheme="majorEastAsia" w:hAnsiTheme="majorEastAsia" w:cstheme="majorEastAsia" w:hint="eastAsia"/>
                <w:bCs/>
              </w:rPr>
              <w:t>（三）项目产出情况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_Toc28572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13</w:t>
            </w:r>
            <w:r>
              <w:rPr>
                <w:rFonts w:asciiTheme="majorEastAsia" w:eastAsiaTheme="majorEastAsia" w:hAnsiTheme="majorEastAsia" w:cstheme="majorEastAsia" w:hint="eastAsia"/>
                <w:bCs/>
              </w:rPr>
              <w:fldChar w:fldCharType="end"/>
            </w:r>
          </w:hyperlink>
        </w:p>
        <w:p w14:paraId="01268002"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23545" w:history="1">
            <w:r>
              <w:rPr>
                <w:rFonts w:asciiTheme="majorEastAsia" w:eastAsiaTheme="majorEastAsia" w:hAnsiTheme="majorEastAsia" w:cstheme="majorEastAsia" w:hint="eastAsia"/>
                <w:bCs/>
              </w:rPr>
              <w:t>（四）项目效益情况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_Toc23545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13</w:t>
            </w:r>
            <w:r>
              <w:rPr>
                <w:rFonts w:asciiTheme="majorEastAsia" w:eastAsiaTheme="majorEastAsia" w:hAnsiTheme="majorEastAsia" w:cstheme="majorEastAsia" w:hint="eastAsia"/>
                <w:bCs/>
              </w:rPr>
              <w:fldChar w:fldCharType="end"/>
            </w:r>
          </w:hyperlink>
        </w:p>
        <w:p w14:paraId="3D097E54"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9605" w:history="1">
            <w:r>
              <w:rPr>
                <w:rFonts w:asciiTheme="majorEastAsia" w:eastAsiaTheme="majorEastAsia" w:hAnsiTheme="majorEastAsia" w:cstheme="majorEastAsia" w:hint="eastAsia"/>
              </w:rPr>
              <w:t>五、主要经验及做法、存在的问题及原因分析</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_Toc9605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fldChar w:fldCharType="end"/>
            </w:r>
          </w:hyperlink>
        </w:p>
        <w:p w14:paraId="30403FCC"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23528" w:history="1">
            <w:r>
              <w:rPr>
                <w:rFonts w:asciiTheme="majorEastAsia" w:eastAsiaTheme="majorEastAsia" w:hAnsiTheme="majorEastAsia" w:cstheme="majorEastAsia" w:hint="eastAsia"/>
              </w:rPr>
              <w:t>（一）主要经验及做法</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_Toc23528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fldChar w:fldCharType="end"/>
            </w:r>
          </w:hyperlink>
        </w:p>
        <w:p w14:paraId="2BDC4DE7"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731" w:history="1">
            <w:r>
              <w:rPr>
                <w:rFonts w:asciiTheme="majorEastAsia" w:eastAsiaTheme="majorEastAsia" w:hAnsiTheme="majorEastAsia" w:cstheme="majorEastAsia" w:hint="eastAsia"/>
              </w:rPr>
              <w:t>（二）存在的问题及原因分析</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_Toc731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fldChar w:fldCharType="end"/>
            </w:r>
          </w:hyperlink>
        </w:p>
        <w:p w14:paraId="3DA553C3"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26146" w:history="1">
            <w:r>
              <w:rPr>
                <w:rFonts w:asciiTheme="majorEastAsia" w:eastAsiaTheme="majorEastAsia" w:hAnsiTheme="majorEastAsia" w:cstheme="majorEastAsia" w:hint="eastAsia"/>
              </w:rPr>
              <w:t>六、有关建议</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_Toc26146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rPr>
              <w:fldChar w:fldCharType="end"/>
            </w:r>
          </w:hyperlink>
        </w:p>
        <w:p w14:paraId="0A8B2633"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20638" w:history="1">
            <w:r>
              <w:rPr>
                <w:rFonts w:asciiTheme="majorEastAsia" w:eastAsiaTheme="majorEastAsia" w:hAnsiTheme="majorEastAsia" w:cstheme="majorEastAsia" w:hint="eastAsia"/>
              </w:rPr>
              <w:t>七、其他需要说明的问题</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_Toc20638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rPr>
              <w:fldChar w:fldCharType="end"/>
            </w:r>
          </w:hyperlink>
        </w:p>
        <w:p w14:paraId="17453B83" w14:textId="77777777" w:rsidR="003E73DC" w:rsidRDefault="00000000">
          <w:pPr>
            <w:ind w:firstLineChars="0" w:firstLine="0"/>
            <w:rPr>
              <w:rFonts w:asciiTheme="majorEastAsia" w:eastAsiaTheme="majorEastAsia" w:hAnsiTheme="majorEastAsia" w:cstheme="majorEastAsia"/>
              <w:b/>
              <w:bCs/>
              <w:sz w:val="32"/>
              <w:szCs w:val="32"/>
            </w:rPr>
            <w:sectPr w:rsidR="003E73DC">
              <w:headerReference w:type="default" r:id="rId10"/>
              <w:footerReference w:type="default" r:id="rId11"/>
              <w:pgSz w:w="11906" w:h="16838"/>
              <w:pgMar w:top="1928" w:right="1531" w:bottom="1701" w:left="1531" w:header="737" w:footer="851" w:gutter="0"/>
              <w:pgNumType w:start="1"/>
              <w:cols w:space="720"/>
              <w:docGrid w:type="lines" w:linePitch="408"/>
            </w:sectPr>
          </w:pPr>
          <w:r>
            <w:rPr>
              <w:rFonts w:asciiTheme="majorEastAsia" w:eastAsiaTheme="majorEastAsia" w:hAnsiTheme="majorEastAsia" w:cstheme="majorEastAsia" w:hint="eastAsia"/>
              <w:bCs/>
            </w:rPr>
            <w:fldChar w:fldCharType="end"/>
          </w:r>
        </w:p>
      </w:sdtContent>
    </w:sdt>
    <w:p w14:paraId="5608C0EB" w14:textId="77777777" w:rsidR="003E73DC" w:rsidRDefault="00000000">
      <w:pPr>
        <w:ind w:firstLineChars="0" w:firstLine="0"/>
        <w:jc w:val="center"/>
        <w:outlineLvl w:val="0"/>
        <w:rPr>
          <w:rFonts w:ascii="黑体" w:eastAsia="黑体" w:hAnsi="黑体" w:cs="黑体"/>
          <w:b/>
          <w:bCs/>
          <w:sz w:val="32"/>
          <w:szCs w:val="32"/>
        </w:rPr>
      </w:pPr>
      <w:bookmarkStart w:id="0" w:name="_Toc32260"/>
      <w:r>
        <w:rPr>
          <w:rFonts w:ascii="黑体" w:eastAsia="黑体" w:hAnsi="黑体" w:cs="黑体" w:hint="eastAsia"/>
          <w:b/>
          <w:bCs/>
          <w:sz w:val="32"/>
          <w:szCs w:val="32"/>
        </w:rPr>
        <w:lastRenderedPageBreak/>
        <w:t>前  言</w:t>
      </w:r>
      <w:bookmarkEnd w:id="0"/>
    </w:p>
    <w:p w14:paraId="28DDD748" w14:textId="77777777" w:rsidR="003E73DC" w:rsidRDefault="00000000">
      <w:pPr>
        <w:ind w:firstLine="560"/>
        <w:rPr>
          <w:rFonts w:ascii="宋体" w:hAnsi="宋体" w:cs="宋体"/>
        </w:rPr>
      </w:pPr>
      <w:r>
        <w:rPr>
          <w:rFonts w:ascii="宋体" w:hAnsi="宋体" w:cs="宋体" w:hint="eastAsia"/>
        </w:rPr>
        <w:t>财政支出绩效评价是财政管理体制改革的重大课题，也是建设廉洁高效政府的关键措施。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通过绩效评价，可以强化支出责任，优化资源配置，提高财政资金的使用效益。</w:t>
      </w:r>
    </w:p>
    <w:p w14:paraId="6198ABD0" w14:textId="6A34F832" w:rsidR="003E73DC" w:rsidRDefault="00000000">
      <w:pPr>
        <w:ind w:firstLine="560"/>
      </w:pPr>
      <w:r>
        <w:rPr>
          <w:rFonts w:ascii="宋体" w:hAnsi="宋体" w:cs="宋体" w:hint="eastAsia"/>
        </w:rPr>
        <w:t>为深入贯彻落实《预算法》文件精神，认真履行全面实施绩效管理的</w:t>
      </w:r>
      <w:r w:rsidR="003306F6" w:rsidRPr="003306F6">
        <w:rPr>
          <w:rFonts w:ascii="宋体" w:hAnsi="宋体" w:cs="宋体" w:hint="eastAsia"/>
        </w:rPr>
        <w:t>党的十九大</w:t>
      </w:r>
      <w:r>
        <w:rPr>
          <w:rFonts w:ascii="宋体" w:hAnsi="宋体" w:cs="宋体" w:hint="eastAsia"/>
        </w:rPr>
        <w:t>精神，强化预算支出责任，提高财政资金使用效益，</w:t>
      </w:r>
      <w:r w:rsidR="0022676B" w:rsidRPr="0022676B">
        <w:rPr>
          <w:rFonts w:hint="eastAsia"/>
        </w:rPr>
        <w:t>“十四五”规划</w:t>
      </w:r>
      <w:r>
        <w:t>已经不是简单意义上的又一个五年规划，它是一个完全不同</w:t>
      </w:r>
      <w:proofErr w:type="gramStart"/>
      <w:r>
        <w:t>于之前</w:t>
      </w:r>
      <w:proofErr w:type="gramEnd"/>
      <w:r>
        <w:t>已有的五年规划的全新的一次再出发</w:t>
      </w:r>
      <w:r>
        <w:rPr>
          <w:rFonts w:hint="eastAsia"/>
        </w:rPr>
        <w:t>，为响应党中央国务院、省委省政府</w:t>
      </w:r>
      <w:r>
        <w:t>部署，</w:t>
      </w:r>
      <w:r>
        <w:rPr>
          <w:rFonts w:hint="eastAsia"/>
        </w:rPr>
        <w:t>做好区域发展规划。</w:t>
      </w:r>
    </w:p>
    <w:p w14:paraId="39042F6B" w14:textId="77777777" w:rsidR="003E73DC" w:rsidRDefault="00000000">
      <w:pPr>
        <w:ind w:firstLine="560"/>
        <w:rPr>
          <w:rFonts w:ascii="宋体" w:hAnsi="宋体" w:cs="宋体"/>
        </w:rPr>
      </w:pPr>
      <w:r>
        <w:rPr>
          <w:rFonts w:ascii="宋体" w:hAnsi="宋体" w:cs="宋体" w:hint="eastAsia"/>
        </w:rPr>
        <w:t>为了解2021年度第十二届中国卫星导航年会江西地方形象馆项目产出情况、产生的效益、资金使用的合理性和规范性，南昌经济技术开发区经济贸易发展局对项目资金的使用及其效果实施绩效评价并形成绩效评价报告。评价情况报告如下：</w:t>
      </w:r>
    </w:p>
    <w:p w14:paraId="709BE214" w14:textId="77777777" w:rsidR="003E73DC" w:rsidRDefault="00000000">
      <w:pPr>
        <w:ind w:firstLine="720"/>
        <w:rPr>
          <w:sz w:val="36"/>
          <w:szCs w:val="36"/>
        </w:rPr>
      </w:pPr>
      <w:r>
        <w:rPr>
          <w:rFonts w:hint="eastAsia"/>
          <w:sz w:val="36"/>
          <w:szCs w:val="36"/>
        </w:rPr>
        <w:br w:type="page"/>
      </w:r>
    </w:p>
    <w:p w14:paraId="273CFAAD" w14:textId="77777777" w:rsidR="003E73DC" w:rsidRDefault="00000000">
      <w:pPr>
        <w:pStyle w:val="1"/>
        <w:spacing w:before="0"/>
        <w:rPr>
          <w:szCs w:val="36"/>
        </w:rPr>
      </w:pPr>
      <w:bookmarkStart w:id="1" w:name="_Toc20760"/>
      <w:r>
        <w:rPr>
          <w:rFonts w:hint="eastAsia"/>
          <w:szCs w:val="36"/>
        </w:rPr>
        <w:lastRenderedPageBreak/>
        <w:t>一、基本情况</w:t>
      </w:r>
      <w:bookmarkEnd w:id="1"/>
    </w:p>
    <w:p w14:paraId="6969776B" w14:textId="77777777" w:rsidR="003E73DC" w:rsidRDefault="00000000">
      <w:pPr>
        <w:pStyle w:val="2"/>
        <w:spacing w:before="204" w:after="204"/>
      </w:pPr>
      <w:bookmarkStart w:id="2" w:name="_Toc23684"/>
      <w:r>
        <w:rPr>
          <w:rFonts w:hint="eastAsia"/>
        </w:rPr>
        <w:t>（一）项目概况</w:t>
      </w:r>
      <w:bookmarkEnd w:id="2"/>
    </w:p>
    <w:p w14:paraId="0E172309" w14:textId="77777777" w:rsidR="003E73DC" w:rsidRDefault="00000000">
      <w:pPr>
        <w:pStyle w:val="3"/>
      </w:pPr>
      <w:bookmarkStart w:id="3" w:name="_Toc3507"/>
      <w:r>
        <w:rPr>
          <w:rFonts w:hint="eastAsia"/>
        </w:rPr>
        <w:t>1</w:t>
      </w:r>
      <w:r>
        <w:rPr>
          <w:rFonts w:hint="eastAsia"/>
        </w:rPr>
        <w:t>、项目背景</w:t>
      </w:r>
      <w:bookmarkEnd w:id="3"/>
    </w:p>
    <w:p w14:paraId="28A7B79C" w14:textId="77777777" w:rsidR="003E73DC" w:rsidRDefault="00000000">
      <w:pPr>
        <w:pStyle w:val="a0"/>
        <w:ind w:firstLine="560"/>
      </w:pPr>
      <w:r>
        <w:t>2021</w:t>
      </w:r>
      <w:r>
        <w:t>年，是北斗系统站在国家发展新起点、新征程上，意义非凡的一年。站在</w:t>
      </w:r>
      <w:r>
        <w:t>“</w:t>
      </w:r>
      <w:r>
        <w:t>两个一百年</w:t>
      </w:r>
      <w:r>
        <w:t>”</w:t>
      </w:r>
      <w:r>
        <w:t>奋斗目标的历史交汇点，历经</w:t>
      </w:r>
      <w:r>
        <w:t>27</w:t>
      </w:r>
      <w:r>
        <w:t>年建设发展的北斗系统已步入世界一流行列，系统功能强大、性能先进，各类特色服务加速推广应用。目前，北斗系统已全面服务于交通运输、公共安全、救灾减灾、农林牧渔、城市治理等行业，融入通信、金融、电力、水利等国家关键领域基础设施建设，加速进入大众消费类电子产品，走向大众应用，服务百姓生活。</w:t>
      </w:r>
      <w:r>
        <w:t>“</w:t>
      </w:r>
      <w:r>
        <w:t>融平台、融数据、融技术、融终端</w:t>
      </w:r>
      <w:r>
        <w:t>”</w:t>
      </w:r>
      <w:r>
        <w:t>成为北斗与其他新技术手段结合应用的新模式，新的应用样式和形态层出不穷，不断为经济社会发展注入新活力新动能，赋能各行各业提质升级。</w:t>
      </w:r>
    </w:p>
    <w:p w14:paraId="453B9D02" w14:textId="77777777" w:rsidR="003E73DC" w:rsidRDefault="00000000">
      <w:pPr>
        <w:pStyle w:val="3"/>
        <w:numPr>
          <w:ilvl w:val="0"/>
          <w:numId w:val="1"/>
        </w:numPr>
      </w:pPr>
      <w:bookmarkStart w:id="4" w:name="_Toc7037"/>
      <w:r>
        <w:rPr>
          <w:rFonts w:hint="eastAsia"/>
        </w:rPr>
        <w:t>主要内容及实施情况</w:t>
      </w:r>
      <w:bookmarkEnd w:id="4"/>
    </w:p>
    <w:p w14:paraId="1B033E8E" w14:textId="77777777" w:rsidR="003E73DC" w:rsidRDefault="00000000">
      <w:pPr>
        <w:pStyle w:val="a0"/>
        <w:ind w:firstLine="560"/>
      </w:pPr>
      <w:r>
        <w:t>去年</w:t>
      </w:r>
      <w:r>
        <w:t>3</w:t>
      </w:r>
      <w:r>
        <w:t>月，南昌经开区围绕北斗、航空及装备制造等相关产业建设的全省唯一的</w:t>
      </w:r>
      <w:r>
        <w:t>“</w:t>
      </w:r>
      <w:r>
        <w:t>特色产业示范基地</w:t>
      </w:r>
      <w:r>
        <w:t>”</w:t>
      </w:r>
      <w:r>
        <w:t>正式获批。</w:t>
      </w:r>
      <w:r>
        <w:rPr>
          <w:rFonts w:hint="eastAsia"/>
        </w:rPr>
        <w:t>故本次年会，经开区建立江西地方形象馆，宣传展示该示范基地以北斗相关产业为核心，依托北斗卫星导航综合应用示范项目、省级（北斗）产业园、省级（北斗）科技园等的运营和建设，做好北斗上下游产业链的研究和布局，大力发展北斗技术应用、北斗服务、核心零器件制造及相关关键设备制造等产业的宏伟布局，</w:t>
      </w:r>
      <w:r>
        <w:rPr>
          <w:rFonts w:hint="eastAsia"/>
        </w:rPr>
        <w:lastRenderedPageBreak/>
        <w:t>提升江西省地方形象。</w:t>
      </w:r>
    </w:p>
    <w:p w14:paraId="6683857B" w14:textId="77777777" w:rsidR="003E73DC" w:rsidRDefault="00000000">
      <w:pPr>
        <w:pStyle w:val="3"/>
        <w:numPr>
          <w:ilvl w:val="0"/>
          <w:numId w:val="1"/>
        </w:numPr>
      </w:pPr>
      <w:bookmarkStart w:id="5" w:name="_Toc31501"/>
      <w:r>
        <w:rPr>
          <w:rFonts w:hint="eastAsia"/>
        </w:rPr>
        <w:t>资金投入和使用情况</w:t>
      </w:r>
      <w:bookmarkEnd w:id="5"/>
    </w:p>
    <w:p w14:paraId="5EA4ACDA" w14:textId="77777777" w:rsidR="003E73DC" w:rsidRDefault="00000000">
      <w:pPr>
        <w:ind w:firstLine="560"/>
      </w:pPr>
      <w:r>
        <w:rPr>
          <w:rFonts w:hint="eastAsia"/>
        </w:rPr>
        <w:t>资金到位情况：</w:t>
      </w:r>
      <w:r>
        <w:rPr>
          <w:rFonts w:hint="eastAsia"/>
        </w:rPr>
        <w:t>2021</w:t>
      </w:r>
      <w:r>
        <w:rPr>
          <w:rFonts w:hint="eastAsia"/>
        </w:rPr>
        <w:t>年度第十二届中国卫星导航年会江西地方形象馆项目年初预算</w:t>
      </w:r>
      <w:r>
        <w:rPr>
          <w:rFonts w:hint="eastAsia"/>
        </w:rPr>
        <w:t>230</w:t>
      </w:r>
      <w:r>
        <w:rPr>
          <w:rFonts w:hint="eastAsia"/>
        </w:rPr>
        <w:t>万元，实际预算资金为</w:t>
      </w:r>
      <w:r>
        <w:rPr>
          <w:rFonts w:hint="eastAsia"/>
        </w:rPr>
        <w:t>180</w:t>
      </w:r>
      <w:r>
        <w:rPr>
          <w:rFonts w:hint="eastAsia"/>
        </w:rPr>
        <w:t>万元，实际到位资金</w:t>
      </w:r>
      <w:r>
        <w:rPr>
          <w:rFonts w:hint="eastAsia"/>
        </w:rPr>
        <w:t>180</w:t>
      </w:r>
      <w:r>
        <w:rPr>
          <w:rFonts w:hint="eastAsia"/>
        </w:rPr>
        <w:t>万元，资金到位率</w:t>
      </w:r>
      <w:r>
        <w:rPr>
          <w:rFonts w:hint="eastAsia"/>
        </w:rPr>
        <w:t>=</w:t>
      </w:r>
      <w:r>
        <w:rPr>
          <w:rFonts w:hint="eastAsia"/>
        </w:rPr>
        <w:t>（实际到位资金÷全年预算资金）×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w:t>
      </w:r>
    </w:p>
    <w:p w14:paraId="6E8819FC" w14:textId="77777777" w:rsidR="003E73DC" w:rsidRDefault="00000000">
      <w:pPr>
        <w:ind w:firstLine="560"/>
      </w:pPr>
      <w:r>
        <w:rPr>
          <w:rFonts w:hint="eastAsia"/>
        </w:rPr>
        <w:t>资金执行情况：该项目全年预算执行数为</w:t>
      </w:r>
      <w:r>
        <w:rPr>
          <w:rFonts w:hint="eastAsia"/>
        </w:rPr>
        <w:t>180</w:t>
      </w:r>
      <w:r>
        <w:rPr>
          <w:rFonts w:hint="eastAsia"/>
        </w:rPr>
        <w:t>万元，预算执行率</w:t>
      </w:r>
      <w:r>
        <w:rPr>
          <w:rFonts w:hint="eastAsia"/>
        </w:rPr>
        <w:t>=</w:t>
      </w:r>
      <w:r>
        <w:rPr>
          <w:rFonts w:hint="eastAsia"/>
        </w:rPr>
        <w:t>（实际支出资金÷实际到位资金）×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w:t>
      </w:r>
    </w:p>
    <w:p w14:paraId="7659BCDF" w14:textId="77777777" w:rsidR="003E73DC" w:rsidRDefault="00000000">
      <w:pPr>
        <w:pStyle w:val="2"/>
        <w:spacing w:before="204" w:after="204"/>
      </w:pPr>
      <w:bookmarkStart w:id="6" w:name="_Toc15046"/>
      <w:r>
        <w:rPr>
          <w:rFonts w:hint="eastAsia"/>
        </w:rPr>
        <w:t>（二）项目绩效目标</w:t>
      </w:r>
      <w:bookmarkEnd w:id="6"/>
    </w:p>
    <w:p w14:paraId="6BAFBF9B" w14:textId="77777777" w:rsidR="003E73DC" w:rsidRDefault="00000000">
      <w:pPr>
        <w:pStyle w:val="3"/>
      </w:pPr>
      <w:bookmarkStart w:id="7" w:name="_Toc13516"/>
      <w:r>
        <w:rPr>
          <w:rFonts w:hint="eastAsia"/>
        </w:rPr>
        <w:t>1</w:t>
      </w:r>
      <w:r>
        <w:rPr>
          <w:rFonts w:hint="eastAsia"/>
        </w:rPr>
        <w:t>、总体目标</w:t>
      </w:r>
      <w:bookmarkEnd w:id="7"/>
    </w:p>
    <w:p w14:paraId="50567C3E" w14:textId="77777777" w:rsidR="003E73DC" w:rsidRDefault="00000000">
      <w:pPr>
        <w:ind w:firstLine="560"/>
      </w:pPr>
      <w:r>
        <w:rPr>
          <w:rFonts w:hint="eastAsia"/>
        </w:rPr>
        <w:t>根据第十二届中国卫星导航年会总体实施方案，完满完成年会</w:t>
      </w:r>
      <w:r>
        <w:t>。</w:t>
      </w:r>
    </w:p>
    <w:p w14:paraId="20E935C2" w14:textId="77777777" w:rsidR="003E73DC" w:rsidRDefault="00000000">
      <w:pPr>
        <w:pStyle w:val="3"/>
        <w:numPr>
          <w:ilvl w:val="0"/>
          <w:numId w:val="2"/>
        </w:numPr>
      </w:pPr>
      <w:bookmarkStart w:id="8" w:name="_Toc24023"/>
      <w:r>
        <w:rPr>
          <w:rFonts w:hint="eastAsia"/>
        </w:rPr>
        <w:t>阶段性目标</w:t>
      </w:r>
      <w:bookmarkEnd w:id="8"/>
    </w:p>
    <w:p w14:paraId="2DC02826" w14:textId="77777777" w:rsidR="003E73DC" w:rsidRDefault="00000000">
      <w:pPr>
        <w:ind w:firstLine="560"/>
      </w:pPr>
      <w:r>
        <w:rPr>
          <w:rFonts w:hint="eastAsia"/>
        </w:rPr>
        <w:t>根据第十二届中国卫星导航年会总体实施方案，建设江西地方形象馆。</w:t>
      </w:r>
    </w:p>
    <w:p w14:paraId="3FD0F705" w14:textId="77777777" w:rsidR="003E73DC" w:rsidRDefault="00000000">
      <w:pPr>
        <w:pStyle w:val="1"/>
      </w:pPr>
      <w:bookmarkStart w:id="9" w:name="_Toc5456"/>
      <w:r>
        <w:rPr>
          <w:rFonts w:hint="eastAsia"/>
        </w:rPr>
        <w:lastRenderedPageBreak/>
        <w:t>二、绩效评价工作开展情况</w:t>
      </w:r>
      <w:bookmarkEnd w:id="9"/>
    </w:p>
    <w:p w14:paraId="4EA16404" w14:textId="77777777" w:rsidR="003E73DC" w:rsidRDefault="00000000">
      <w:pPr>
        <w:pStyle w:val="2"/>
        <w:spacing w:before="204" w:after="204"/>
      </w:pPr>
      <w:bookmarkStart w:id="10" w:name="_Toc12107"/>
      <w:r>
        <w:rPr>
          <w:rFonts w:hint="eastAsia"/>
        </w:rPr>
        <w:t>（一）绩效评价目的、对象和范围</w:t>
      </w:r>
      <w:bookmarkEnd w:id="10"/>
    </w:p>
    <w:p w14:paraId="2086C832" w14:textId="77777777" w:rsidR="003E73DC" w:rsidRDefault="00000000">
      <w:pPr>
        <w:pStyle w:val="3"/>
      </w:pPr>
      <w:bookmarkStart w:id="11" w:name="_Toc22421"/>
      <w:r>
        <w:rPr>
          <w:rFonts w:hint="eastAsia"/>
        </w:rPr>
        <w:t>1</w:t>
      </w:r>
      <w:r>
        <w:rPr>
          <w:rFonts w:hint="eastAsia"/>
        </w:rPr>
        <w:t>、绩效评价的目的</w:t>
      </w:r>
      <w:bookmarkEnd w:id="11"/>
    </w:p>
    <w:p w14:paraId="6DBAD85D" w14:textId="77777777" w:rsidR="003E73DC" w:rsidRDefault="00000000">
      <w:pPr>
        <w:ind w:firstLine="560"/>
      </w:pPr>
      <w:r>
        <w:rPr>
          <w:rFonts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14:paraId="340B5C73" w14:textId="77777777" w:rsidR="003E73DC" w:rsidRDefault="00000000">
      <w:pPr>
        <w:ind w:firstLine="560"/>
      </w:pPr>
      <w:r>
        <w:rPr>
          <w:rFonts w:hint="eastAsia"/>
        </w:rPr>
        <w:t>①了解各项目资金的使用情况、项目成效及社会效益等信息；</w:t>
      </w:r>
    </w:p>
    <w:p w14:paraId="32E67A93" w14:textId="77777777" w:rsidR="003E73DC" w:rsidRDefault="00000000">
      <w:pPr>
        <w:ind w:firstLine="560"/>
      </w:pPr>
      <w:r>
        <w:rPr>
          <w:rFonts w:hint="eastAsia"/>
        </w:rPr>
        <w:t>②发现和找出资金使用中或项目管理中的不足和问题，并进行深入研究和分析；</w:t>
      </w:r>
    </w:p>
    <w:p w14:paraId="4EF9283A" w14:textId="77777777" w:rsidR="003E73DC" w:rsidRDefault="00000000">
      <w:pPr>
        <w:ind w:firstLine="560"/>
      </w:pPr>
      <w:r>
        <w:rPr>
          <w:rFonts w:hint="eastAsia"/>
        </w:rPr>
        <w:t>③针对绩效评价中发现的项目中存在的不足和问题，提出有针对性和可行性的改进建议，为改善后续工作提供有效借鉴，以促进资金使用效率的提高和项目效益的增强。</w:t>
      </w:r>
    </w:p>
    <w:p w14:paraId="47891635" w14:textId="77777777" w:rsidR="003E73DC" w:rsidRDefault="00000000">
      <w:pPr>
        <w:pStyle w:val="3"/>
        <w:numPr>
          <w:ilvl w:val="0"/>
          <w:numId w:val="3"/>
        </w:numPr>
      </w:pPr>
      <w:bookmarkStart w:id="12" w:name="_Toc5560"/>
      <w:r>
        <w:rPr>
          <w:rFonts w:hint="eastAsia"/>
        </w:rPr>
        <w:t>绩效评价的对象和范围</w:t>
      </w:r>
      <w:bookmarkEnd w:id="12"/>
    </w:p>
    <w:p w14:paraId="7125C0A0" w14:textId="77777777" w:rsidR="003E73DC" w:rsidRDefault="00000000">
      <w:pPr>
        <w:ind w:firstLine="560"/>
      </w:pPr>
      <w:r>
        <w:rPr>
          <w:rFonts w:hint="eastAsia"/>
        </w:rPr>
        <w:t>本次绩效评价工作的主要对象为</w:t>
      </w:r>
      <w:r>
        <w:rPr>
          <w:rFonts w:hint="eastAsia"/>
        </w:rPr>
        <w:t>2021</w:t>
      </w:r>
      <w:r>
        <w:rPr>
          <w:rFonts w:hint="eastAsia"/>
        </w:rPr>
        <w:t>年度第十二届中国卫星导航年会江西地方形象馆项目及其实施单位南昌市经济技术开发区经济贸易发展局，评价范围包含资金使用情况，项目完成情况，项目完成时效，完成</w:t>
      </w:r>
      <w:r>
        <w:rPr>
          <w:rFonts w:hint="eastAsia"/>
        </w:rPr>
        <w:lastRenderedPageBreak/>
        <w:t>后产生的效益，可持续性影响，居民的满意度等情况。</w:t>
      </w:r>
    </w:p>
    <w:p w14:paraId="505B9E01" w14:textId="77777777" w:rsidR="003E73DC" w:rsidRDefault="00000000">
      <w:pPr>
        <w:pStyle w:val="2"/>
        <w:spacing w:before="204" w:after="204"/>
      </w:pPr>
      <w:bookmarkStart w:id="13" w:name="_Toc10557"/>
      <w:r>
        <w:rPr>
          <w:rFonts w:hint="eastAsia"/>
        </w:rPr>
        <w:t>（二）绩效评价原则、评价指标体系（附表说明）、评价方法、评价标准等。</w:t>
      </w:r>
      <w:bookmarkEnd w:id="13"/>
    </w:p>
    <w:p w14:paraId="65C96B25" w14:textId="77777777" w:rsidR="003E73DC" w:rsidRDefault="00000000">
      <w:pPr>
        <w:pStyle w:val="3"/>
      </w:pPr>
      <w:bookmarkStart w:id="14" w:name="_Toc27663"/>
      <w:r>
        <w:rPr>
          <w:rFonts w:hint="eastAsia"/>
        </w:rPr>
        <w:t>1</w:t>
      </w:r>
      <w:r>
        <w:rPr>
          <w:rFonts w:hint="eastAsia"/>
        </w:rPr>
        <w:t>、绩效评价的原则</w:t>
      </w:r>
      <w:bookmarkEnd w:id="14"/>
    </w:p>
    <w:p w14:paraId="7B206206" w14:textId="77777777" w:rsidR="003E73DC" w:rsidRDefault="00000000">
      <w:pPr>
        <w:ind w:firstLine="560"/>
      </w:pPr>
      <w:r>
        <w:rPr>
          <w:rFonts w:hint="eastAsia"/>
        </w:rPr>
        <w:t>绩效评价应当遵循以下基本原则：</w:t>
      </w:r>
    </w:p>
    <w:p w14:paraId="245D7C7D" w14:textId="77777777" w:rsidR="003E73DC" w:rsidRDefault="00000000">
      <w:pPr>
        <w:ind w:firstLine="560"/>
      </w:pPr>
      <w:r>
        <w:rPr>
          <w:rFonts w:hint="eastAsia"/>
        </w:rPr>
        <w:t>①科学规范。绩效评价注重财政支出的经济性、效率性和有效性，严格执行规定的程序，采用定量与定性分析相结合的方法。</w:t>
      </w:r>
    </w:p>
    <w:p w14:paraId="317D8813" w14:textId="77777777" w:rsidR="003E73DC" w:rsidRDefault="00000000">
      <w:pPr>
        <w:ind w:firstLine="560"/>
      </w:pPr>
      <w:r>
        <w:rPr>
          <w:rFonts w:hint="eastAsia"/>
        </w:rPr>
        <w:t>②公正公开。绩效评价客观、公正，标准统一、资料可靠，依法公开并接受监督。</w:t>
      </w:r>
    </w:p>
    <w:p w14:paraId="37DA1160" w14:textId="77777777" w:rsidR="003E73DC" w:rsidRDefault="00000000">
      <w:pPr>
        <w:ind w:firstLine="560"/>
      </w:pPr>
      <w:r>
        <w:rPr>
          <w:rFonts w:hint="eastAsia"/>
        </w:rPr>
        <w:t>③分级分类。绩效评价由各级财政部门、部门（单位）根据评价对象的特点，分类组织实施。</w:t>
      </w:r>
    </w:p>
    <w:p w14:paraId="43D96CDC" w14:textId="77777777" w:rsidR="003E73DC" w:rsidRDefault="00000000">
      <w:pPr>
        <w:ind w:firstLine="560"/>
      </w:pPr>
      <w:r>
        <w:rPr>
          <w:rFonts w:hint="eastAsia"/>
        </w:rPr>
        <w:t>④绩效相关。绩效评价针对具体支出及其产出绩效进行，评价结果清晰反映支出和产出绩效之间的紧密对应关系。</w:t>
      </w:r>
    </w:p>
    <w:p w14:paraId="07321DB9" w14:textId="77777777" w:rsidR="003E73DC" w:rsidRDefault="00000000">
      <w:pPr>
        <w:pStyle w:val="3"/>
        <w:ind w:leftChars="200" w:left="560" w:firstLineChars="0" w:firstLine="0"/>
      </w:pPr>
      <w:bookmarkStart w:id="15" w:name="_Toc13802"/>
      <w:r>
        <w:rPr>
          <w:rFonts w:hint="eastAsia"/>
        </w:rPr>
        <w:t>2</w:t>
      </w:r>
      <w:r>
        <w:rPr>
          <w:rFonts w:hint="eastAsia"/>
        </w:rPr>
        <w:t>、评价指标体系</w:t>
      </w:r>
      <w:bookmarkEnd w:id="15"/>
    </w:p>
    <w:p w14:paraId="28AB07F8" w14:textId="77777777" w:rsidR="003E73DC" w:rsidRDefault="00000000">
      <w:pPr>
        <w:ind w:firstLine="560"/>
      </w:pPr>
      <w:r>
        <w:rPr>
          <w:rFonts w:hint="eastAsia"/>
        </w:rPr>
        <w:t>根据财政部《项目支出绩效评价管理办法》（财预</w:t>
      </w:r>
      <w:r>
        <w:rPr>
          <w:rFonts w:hint="eastAsia"/>
        </w:rPr>
        <w:t>[2021]10</w:t>
      </w:r>
      <w:r>
        <w:rPr>
          <w:rFonts w:hint="eastAsia"/>
        </w:rPr>
        <w:t>号）、《南昌市财政局关于开展</w:t>
      </w:r>
      <w:r>
        <w:rPr>
          <w:rFonts w:hint="eastAsia"/>
        </w:rPr>
        <w:t>2019</w:t>
      </w:r>
      <w:r>
        <w:rPr>
          <w:rFonts w:hint="eastAsia"/>
        </w:rPr>
        <w:t>年度市级部门财政项目支出绩效评价工作的通知》（洪财办</w:t>
      </w:r>
      <w:r>
        <w:rPr>
          <w:rFonts w:hint="eastAsia"/>
        </w:rPr>
        <w:t>[2021]10</w:t>
      </w:r>
      <w:r>
        <w:rPr>
          <w:rFonts w:hint="eastAsia"/>
        </w:rPr>
        <w:t>号）等文件精神，确定本次绩效评价指标的整体框架。包括项目决策指标（项目立项、绩效目标、资金投入），过程指标（资金管理、组织实施），项目产出（产出数量指标、产出质量指标、产出时</w:t>
      </w:r>
      <w:r>
        <w:rPr>
          <w:rFonts w:hint="eastAsia"/>
        </w:rPr>
        <w:lastRenderedPageBreak/>
        <w:t>效指标、产出成本指标），产出效益（项目经济效益指标、项目社会效益指标、项目环境效益指标、项目可持续影响指标、项目满意度），结合项目实际情况，确定本次绩效评价指标体系的个性指标，并通过与相关各方的协商最终确定全部指标内容。指标数据来源于法规与政府文件、基础数据采集、问卷调查、访谈等。具体详见。</w:t>
      </w:r>
      <w:r>
        <w:rPr>
          <w:rFonts w:hint="eastAsia"/>
          <w:b/>
          <w:bCs/>
        </w:rPr>
        <w:t>附表</w:t>
      </w:r>
      <w:r>
        <w:rPr>
          <w:rFonts w:hint="eastAsia"/>
          <w:b/>
          <w:bCs/>
        </w:rPr>
        <w:t>1</w:t>
      </w:r>
      <w:r>
        <w:rPr>
          <w:rFonts w:hint="eastAsia"/>
          <w:b/>
          <w:bCs/>
        </w:rPr>
        <w:t>《项目支出绩效评分表》</w:t>
      </w:r>
      <w:r>
        <w:rPr>
          <w:rFonts w:hint="eastAsia"/>
        </w:rPr>
        <w:t>。</w:t>
      </w:r>
    </w:p>
    <w:p w14:paraId="445D6CB1" w14:textId="77777777" w:rsidR="003E73DC" w:rsidRDefault="00000000">
      <w:pPr>
        <w:numPr>
          <w:ilvl w:val="0"/>
          <w:numId w:val="4"/>
        </w:numPr>
        <w:ind w:firstLine="560"/>
      </w:pPr>
      <w:r>
        <w:rPr>
          <w:rFonts w:hint="eastAsia"/>
        </w:rPr>
        <w:t>项目决策指标：占权重分</w:t>
      </w:r>
      <w:r>
        <w:rPr>
          <w:rFonts w:hint="eastAsia"/>
        </w:rPr>
        <w:t>15</w:t>
      </w:r>
      <w:r>
        <w:rPr>
          <w:rFonts w:hint="eastAsia"/>
        </w:rPr>
        <w:t>分。用于考核项目立项、绩效目标等方面。</w:t>
      </w:r>
    </w:p>
    <w:p w14:paraId="4F1F9399" w14:textId="77777777" w:rsidR="003E73DC" w:rsidRDefault="00000000">
      <w:pPr>
        <w:pStyle w:val="a0"/>
        <w:numPr>
          <w:ilvl w:val="0"/>
          <w:numId w:val="4"/>
        </w:numPr>
        <w:ind w:firstLine="560"/>
      </w:pPr>
      <w:r>
        <w:rPr>
          <w:rFonts w:hint="eastAsia"/>
        </w:rPr>
        <w:t>项目过程指标：占权重分</w:t>
      </w:r>
      <w:r>
        <w:rPr>
          <w:rFonts w:hint="eastAsia"/>
        </w:rPr>
        <w:t>15</w:t>
      </w:r>
      <w:r>
        <w:rPr>
          <w:rFonts w:hint="eastAsia"/>
        </w:rPr>
        <w:t>分。用于考核资金管理、组织实施方面。</w:t>
      </w:r>
    </w:p>
    <w:p w14:paraId="096E317F" w14:textId="77777777" w:rsidR="003E73DC" w:rsidRDefault="00000000">
      <w:pPr>
        <w:ind w:firstLine="560"/>
      </w:pPr>
      <w:r>
        <w:rPr>
          <w:rFonts w:hint="eastAsia"/>
        </w:rPr>
        <w:t>（</w:t>
      </w:r>
      <w:r>
        <w:rPr>
          <w:rFonts w:hint="eastAsia"/>
        </w:rPr>
        <w:t>3</w:t>
      </w:r>
      <w:r>
        <w:rPr>
          <w:rFonts w:hint="eastAsia"/>
        </w:rPr>
        <w:t>）项目产出：占权重</w:t>
      </w:r>
      <w:r>
        <w:rPr>
          <w:rFonts w:hint="eastAsia"/>
        </w:rPr>
        <w:t>35</w:t>
      </w:r>
      <w:r>
        <w:rPr>
          <w:rFonts w:hint="eastAsia"/>
        </w:rPr>
        <w:t>分，分为产出数量、产出质量、产出时效、产出成本四个方面。</w:t>
      </w:r>
    </w:p>
    <w:p w14:paraId="636D919A" w14:textId="77777777" w:rsidR="003E73DC" w:rsidRDefault="00000000">
      <w:pPr>
        <w:ind w:firstLine="560"/>
      </w:pPr>
      <w:r>
        <w:rPr>
          <w:rFonts w:hint="eastAsia"/>
        </w:rPr>
        <w:t>（</w:t>
      </w:r>
      <w:r>
        <w:rPr>
          <w:rFonts w:hint="eastAsia"/>
        </w:rPr>
        <w:t>4</w:t>
      </w:r>
      <w:r>
        <w:rPr>
          <w:rFonts w:hint="eastAsia"/>
        </w:rPr>
        <w:t>）项目效益：占权重</w:t>
      </w:r>
      <w:r>
        <w:rPr>
          <w:rFonts w:hint="eastAsia"/>
        </w:rPr>
        <w:t>25</w:t>
      </w:r>
      <w:r>
        <w:rPr>
          <w:rFonts w:hint="eastAsia"/>
        </w:rPr>
        <w:t>分，分为经济效益、社会效益、生态效益、可持续影响等方面。</w:t>
      </w:r>
    </w:p>
    <w:p w14:paraId="7D77B12F" w14:textId="77777777" w:rsidR="003E73DC" w:rsidRDefault="00000000">
      <w:pPr>
        <w:pStyle w:val="a0"/>
        <w:ind w:firstLine="560"/>
      </w:pPr>
      <w:r>
        <w:rPr>
          <w:rFonts w:hint="eastAsia"/>
        </w:rPr>
        <w:t>（</w:t>
      </w:r>
      <w:r>
        <w:rPr>
          <w:rFonts w:hint="eastAsia"/>
        </w:rPr>
        <w:t>5</w:t>
      </w:r>
      <w:r>
        <w:rPr>
          <w:rFonts w:hint="eastAsia"/>
        </w:rPr>
        <w:t>）满意度：占权重</w:t>
      </w:r>
      <w:r>
        <w:rPr>
          <w:rFonts w:hint="eastAsia"/>
        </w:rPr>
        <w:t>10</w:t>
      </w:r>
      <w:r>
        <w:rPr>
          <w:rFonts w:hint="eastAsia"/>
        </w:rPr>
        <w:t>分，用于考核项目社会公众或服务对象满意度方面。</w:t>
      </w:r>
    </w:p>
    <w:p w14:paraId="73D55C05" w14:textId="77777777" w:rsidR="003E73DC" w:rsidRDefault="00000000">
      <w:pPr>
        <w:pStyle w:val="3"/>
        <w:numPr>
          <w:ilvl w:val="0"/>
          <w:numId w:val="3"/>
        </w:numPr>
      </w:pPr>
      <w:bookmarkStart w:id="16" w:name="_Toc16918"/>
      <w:r>
        <w:rPr>
          <w:rFonts w:hint="eastAsia"/>
        </w:rPr>
        <w:t>评价方法</w:t>
      </w:r>
      <w:bookmarkEnd w:id="16"/>
    </w:p>
    <w:p w14:paraId="5B382712" w14:textId="77777777" w:rsidR="003E73DC" w:rsidRDefault="00000000">
      <w:pPr>
        <w:ind w:firstLine="560"/>
        <w:rPr>
          <w:highlight w:val="yellow"/>
        </w:rPr>
      </w:pPr>
      <w:r>
        <w:rPr>
          <w:rFonts w:hint="eastAsia"/>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w:t>
      </w:r>
      <w:r>
        <w:rPr>
          <w:rFonts w:hint="eastAsia"/>
        </w:rPr>
        <w:lastRenderedPageBreak/>
        <w:t>相关财务凭证，掌握项目资金的使用情况；实地调研则是通过研究员调查实地情况，了解项目的产出和效果；问卷调查则是对项目的相关受益群体进行，了解其对项目实施的真实看法及满意状况。</w:t>
      </w:r>
    </w:p>
    <w:p w14:paraId="143FD61A" w14:textId="77777777" w:rsidR="003E73DC" w:rsidRDefault="00000000">
      <w:pPr>
        <w:pStyle w:val="3"/>
        <w:numPr>
          <w:ilvl w:val="0"/>
          <w:numId w:val="3"/>
        </w:numPr>
      </w:pPr>
      <w:bookmarkStart w:id="17" w:name="_Toc15942"/>
      <w:r>
        <w:rPr>
          <w:rFonts w:hint="eastAsia"/>
        </w:rPr>
        <w:t>评价标准</w:t>
      </w:r>
      <w:bookmarkEnd w:id="17"/>
    </w:p>
    <w:p w14:paraId="700560E2" w14:textId="77777777" w:rsidR="003E73DC" w:rsidRDefault="00000000">
      <w:pPr>
        <w:ind w:firstLine="560"/>
      </w:pPr>
      <w:r>
        <w:t>绩效评价标准是指衡量财政支出绩效目标完成程度的尺度。对于评价指标而言，需要通过评价标准来</w:t>
      </w:r>
      <w:r>
        <w:rPr>
          <w:rFonts w:hint="eastAsia"/>
        </w:rPr>
        <w:t>判别</w:t>
      </w:r>
      <w:r>
        <w:t>评价指标的状况和优劣程度。是评价工作的基本准绳和标尺，是最后进行评价计分的依据，它决定了评价目标能否实现以及评价结果是否公平准确。绩效指标评价标准</w:t>
      </w:r>
      <w:r>
        <w:rPr>
          <w:rFonts w:hint="eastAsia"/>
        </w:rPr>
        <w:t>主要有：</w:t>
      </w:r>
    </w:p>
    <w:p w14:paraId="1962BC35" w14:textId="77777777" w:rsidR="003E73DC" w:rsidRDefault="00000000">
      <w:pPr>
        <w:rPr>
          <w:b/>
          <w:bCs/>
        </w:rPr>
      </w:pPr>
      <w:r>
        <w:rPr>
          <w:rFonts w:hint="eastAsia"/>
          <w:b/>
          <w:bCs/>
        </w:rPr>
        <w:t>（</w:t>
      </w:r>
      <w:r>
        <w:rPr>
          <w:rFonts w:hint="eastAsia"/>
          <w:b/>
          <w:bCs/>
        </w:rPr>
        <w:t>1</w:t>
      </w:r>
      <w:r>
        <w:rPr>
          <w:rFonts w:hint="eastAsia"/>
          <w:b/>
          <w:bCs/>
        </w:rPr>
        <w:t>）</w:t>
      </w:r>
      <w:r>
        <w:rPr>
          <w:b/>
          <w:bCs/>
        </w:rPr>
        <w:t>计划标准</w:t>
      </w:r>
    </w:p>
    <w:p w14:paraId="7BDB0BB3" w14:textId="77777777" w:rsidR="003E73DC" w:rsidRDefault="00000000">
      <w:pPr>
        <w:ind w:firstLine="560"/>
      </w:pPr>
      <w:r>
        <w:t>以</w:t>
      </w:r>
      <w:r>
        <w:rPr>
          <w:rFonts w:hint="eastAsia"/>
        </w:rPr>
        <w:t>预先</w:t>
      </w:r>
      <w:r>
        <w:t>制定的计划、</w:t>
      </w:r>
      <w:r>
        <w:rPr>
          <w:rFonts w:hint="eastAsia"/>
        </w:rPr>
        <w:t>目标、</w:t>
      </w:r>
      <w:r>
        <w:t>预算</w:t>
      </w:r>
      <w:r>
        <w:rPr>
          <w:rFonts w:hint="eastAsia"/>
        </w:rPr>
        <w:t>或</w:t>
      </w:r>
      <w:r>
        <w:t>定额等数据作为绩效</w:t>
      </w:r>
      <w:r>
        <w:rPr>
          <w:rFonts w:hint="eastAsia"/>
        </w:rPr>
        <w:t>评价</w:t>
      </w:r>
      <w:r>
        <w:t>标准。</w:t>
      </w:r>
      <w:r>
        <w:rPr>
          <w:rFonts w:hint="eastAsia"/>
        </w:rPr>
        <w:t>计划值作为评价的指标旨在通过将实际完成值与预定值对比，找出两者的差异，从而达到评价目的。但由于容易受主观因素影响，计划标准的制定要求较高。</w:t>
      </w:r>
    </w:p>
    <w:p w14:paraId="1D5CD90D" w14:textId="77777777" w:rsidR="003E73DC" w:rsidRDefault="00000000">
      <w:pPr>
        <w:rPr>
          <w:b/>
          <w:bCs/>
        </w:rPr>
      </w:pPr>
      <w:r>
        <w:rPr>
          <w:rFonts w:hint="eastAsia"/>
          <w:b/>
          <w:bCs/>
        </w:rPr>
        <w:t>（</w:t>
      </w:r>
      <w:r>
        <w:rPr>
          <w:rFonts w:hint="eastAsia"/>
          <w:b/>
          <w:bCs/>
        </w:rPr>
        <w:t>2</w:t>
      </w:r>
      <w:r>
        <w:rPr>
          <w:rFonts w:hint="eastAsia"/>
          <w:b/>
          <w:bCs/>
        </w:rPr>
        <w:t>）</w:t>
      </w:r>
      <w:r>
        <w:rPr>
          <w:b/>
          <w:bCs/>
        </w:rPr>
        <w:t>行业标准</w:t>
      </w:r>
    </w:p>
    <w:p w14:paraId="0DFF877D" w14:textId="77777777" w:rsidR="003E73DC" w:rsidRDefault="00000000">
      <w:pPr>
        <w:ind w:firstLine="560"/>
      </w:pPr>
      <w:r>
        <w:t>以</w:t>
      </w:r>
      <w:r>
        <w:rPr>
          <w:rFonts w:hint="eastAsia"/>
        </w:rPr>
        <w:t>某</w:t>
      </w:r>
      <w:r>
        <w:t>一</w:t>
      </w:r>
      <w:r>
        <w:rPr>
          <w:rFonts w:hint="eastAsia"/>
        </w:rPr>
        <w:t>具体</w:t>
      </w:r>
      <w:r>
        <w:t>行业许多</w:t>
      </w:r>
      <w:r>
        <w:rPr>
          <w:rFonts w:hint="eastAsia"/>
        </w:rPr>
        <w:t>个</w:t>
      </w:r>
      <w:r>
        <w:t>体</w:t>
      </w:r>
      <w:r>
        <w:rPr>
          <w:rFonts w:hint="eastAsia"/>
        </w:rPr>
        <w:t>或某项财政经费</w:t>
      </w:r>
      <w:r>
        <w:t>的相关指标数据为样本，运用数理统计方法</w:t>
      </w:r>
      <w:r>
        <w:rPr>
          <w:rFonts w:hint="eastAsia"/>
        </w:rPr>
        <w:t>，</w:t>
      </w:r>
      <w:r>
        <w:t>计算和制定的该行业评价标准。</w:t>
      </w:r>
      <w:r>
        <w:rPr>
          <w:rFonts w:hint="eastAsia"/>
        </w:rPr>
        <w:t>行业标准可方便财政部门对各类支出的绩效情况进行纵向的或横向的比较分析；行业标准具有易取得性、权威性和客观性，广为评价工作者使用，然而行业标准的充分应用需要强大的</w:t>
      </w:r>
      <w:r>
        <w:t>数据</w:t>
      </w:r>
      <w:r>
        <w:rPr>
          <w:rFonts w:hint="eastAsia"/>
        </w:rPr>
        <w:t>资料库做支撑</w:t>
      </w:r>
      <w:r>
        <w:t>。</w:t>
      </w:r>
    </w:p>
    <w:p w14:paraId="1EFD8FFE" w14:textId="77777777" w:rsidR="003E73DC" w:rsidRDefault="00000000">
      <w:pPr>
        <w:rPr>
          <w:b/>
          <w:bCs/>
        </w:rPr>
      </w:pPr>
      <w:r>
        <w:rPr>
          <w:rFonts w:hint="eastAsia"/>
          <w:b/>
          <w:bCs/>
        </w:rPr>
        <w:t>（</w:t>
      </w:r>
      <w:r>
        <w:rPr>
          <w:rFonts w:hint="eastAsia"/>
          <w:b/>
          <w:bCs/>
        </w:rPr>
        <w:t>3</w:t>
      </w:r>
      <w:r>
        <w:rPr>
          <w:rFonts w:hint="eastAsia"/>
          <w:b/>
          <w:bCs/>
        </w:rPr>
        <w:t>）</w:t>
      </w:r>
      <w:r>
        <w:rPr>
          <w:b/>
          <w:bCs/>
        </w:rPr>
        <w:t>历史标准</w:t>
      </w:r>
    </w:p>
    <w:p w14:paraId="0089C4FD" w14:textId="77777777" w:rsidR="003E73DC" w:rsidRDefault="00000000">
      <w:pPr>
        <w:ind w:firstLine="560"/>
      </w:pPr>
      <w:r>
        <w:t>以绩效评价指标的历史数据作为样本，运用一定的统计学方法</w:t>
      </w:r>
      <w:r>
        <w:rPr>
          <w:rFonts w:hint="eastAsia"/>
        </w:rPr>
        <w:t>，</w:t>
      </w:r>
      <w:r>
        <w:t>计算</w:t>
      </w:r>
      <w:r>
        <w:lastRenderedPageBreak/>
        <w:t>出各类指标的平均历史水平。</w:t>
      </w:r>
      <w:r>
        <w:rPr>
          <w:rFonts w:hint="eastAsia"/>
        </w:rPr>
        <w:t>在运用历史标准进行评价时，要对其根据价格指数、统计口径或核算方法的变化对历史标准进行修订和完善。</w:t>
      </w:r>
      <w:r>
        <w:rPr>
          <w:rFonts w:hint="eastAsia"/>
        </w:rPr>
        <w:t xml:space="preserve"> </w:t>
      </w:r>
    </w:p>
    <w:p w14:paraId="4056DCDA" w14:textId="77777777" w:rsidR="003E73DC" w:rsidRDefault="00000000">
      <w:pPr>
        <w:rPr>
          <w:b/>
          <w:bCs/>
        </w:rPr>
      </w:pPr>
      <w:r>
        <w:rPr>
          <w:rFonts w:hint="eastAsia"/>
          <w:b/>
          <w:bCs/>
        </w:rPr>
        <w:t>（</w:t>
      </w:r>
      <w:r>
        <w:rPr>
          <w:rFonts w:hint="eastAsia"/>
          <w:b/>
          <w:bCs/>
        </w:rPr>
        <w:t>4</w:t>
      </w:r>
      <w:r>
        <w:rPr>
          <w:rFonts w:hint="eastAsia"/>
          <w:b/>
          <w:bCs/>
        </w:rPr>
        <w:t>）</w:t>
      </w:r>
      <w:r>
        <w:rPr>
          <w:b/>
          <w:bCs/>
        </w:rPr>
        <w:t>经验标准</w:t>
      </w:r>
    </w:p>
    <w:p w14:paraId="5F6360D9" w14:textId="77777777" w:rsidR="003E73DC" w:rsidRDefault="00000000">
      <w:pPr>
        <w:ind w:firstLine="560"/>
      </w:pPr>
      <w:r>
        <w:t>根据长期的财政经济活动管理实践，由在</w:t>
      </w:r>
      <w:r>
        <w:rPr>
          <w:rFonts w:hint="eastAsia"/>
        </w:rPr>
        <w:t>该</w:t>
      </w:r>
      <w:r>
        <w:t>领域</w:t>
      </w:r>
      <w:r>
        <w:rPr>
          <w:rFonts w:hint="eastAsia"/>
        </w:rPr>
        <w:t>中具</w:t>
      </w:r>
      <w:r>
        <w:t>有丰富经验的专家学者，在经过严密分析</w:t>
      </w:r>
      <w:r>
        <w:rPr>
          <w:rFonts w:hint="eastAsia"/>
        </w:rPr>
        <w:t>与</w:t>
      </w:r>
      <w:r>
        <w:t>研究</w:t>
      </w:r>
      <w:r>
        <w:rPr>
          <w:rFonts w:hint="eastAsia"/>
        </w:rPr>
        <w:t>，</w:t>
      </w:r>
      <w:r>
        <w:t>得</w:t>
      </w:r>
      <w:r>
        <w:rPr>
          <w:rFonts w:hint="eastAsia"/>
        </w:rPr>
        <w:t>到</w:t>
      </w:r>
      <w:r>
        <w:t>的有关指标标准。</w:t>
      </w:r>
      <w:r>
        <w:rPr>
          <w:rFonts w:hint="eastAsia"/>
        </w:rPr>
        <w:t>该标准适用于缺乏同行业标准比较时用。即便行业标准与经验标准两者都可得到并使用，如果前者不如后者有权威性时，为保证评价结果的认可度，也应当选择经验标准，而不是选择行业标准。</w:t>
      </w:r>
    </w:p>
    <w:p w14:paraId="02875F58" w14:textId="77777777" w:rsidR="003E73DC" w:rsidRDefault="00000000">
      <w:pPr>
        <w:pStyle w:val="2"/>
        <w:numPr>
          <w:ilvl w:val="0"/>
          <w:numId w:val="5"/>
        </w:numPr>
        <w:spacing w:before="204" w:after="204"/>
      </w:pPr>
      <w:bookmarkStart w:id="18" w:name="_Toc3532"/>
      <w:r>
        <w:rPr>
          <w:rFonts w:hint="eastAsia"/>
        </w:rPr>
        <w:t>绩效评价工作过程</w:t>
      </w:r>
      <w:bookmarkEnd w:id="18"/>
    </w:p>
    <w:p w14:paraId="1E6165C6" w14:textId="77777777" w:rsidR="003E73DC" w:rsidRDefault="00000000">
      <w:pPr>
        <w:ind w:firstLine="560"/>
      </w:pPr>
      <w:r>
        <w:rPr>
          <w:rFonts w:hint="eastAsia"/>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14:paraId="198A1641" w14:textId="77777777" w:rsidR="003E73DC" w:rsidRDefault="00000000">
      <w:pPr>
        <w:pStyle w:val="3"/>
      </w:pPr>
      <w:bookmarkStart w:id="19" w:name="_Toc8299"/>
      <w:r>
        <w:rPr>
          <w:rFonts w:hint="eastAsia"/>
        </w:rPr>
        <w:t>1</w:t>
      </w:r>
      <w:r>
        <w:rPr>
          <w:rFonts w:hint="eastAsia"/>
        </w:rPr>
        <w:t>、绩效评价的业务流程</w:t>
      </w:r>
      <w:bookmarkEnd w:id="19"/>
    </w:p>
    <w:p w14:paraId="6184845E" w14:textId="77777777" w:rsidR="003E73DC" w:rsidRDefault="00000000">
      <w:pPr>
        <w:rPr>
          <w:rFonts w:ascii="宋体" w:hAnsi="宋体" w:cs="宋体"/>
          <w:b/>
          <w:bCs/>
        </w:rPr>
      </w:pPr>
      <w:r>
        <w:rPr>
          <w:rFonts w:ascii="宋体" w:hAnsi="宋体" w:cs="宋体" w:hint="eastAsia"/>
          <w:b/>
          <w:bCs/>
        </w:rPr>
        <w:t>（1）评价前期准备</w:t>
      </w:r>
    </w:p>
    <w:p w14:paraId="33D6F24D" w14:textId="77777777" w:rsidR="003E73DC" w:rsidRDefault="00000000">
      <w:pPr>
        <w:ind w:firstLine="560"/>
      </w:pPr>
      <w:r>
        <w:rPr>
          <w:rFonts w:hint="eastAsia"/>
        </w:rPr>
        <w:lastRenderedPageBreak/>
        <w:t>了解评价对象情况</w:t>
      </w:r>
      <w:r>
        <w:rPr>
          <w:rFonts w:hint="eastAsia"/>
          <w:b/>
          <w:bCs/>
        </w:rPr>
        <w:t>：</w:t>
      </w:r>
      <w:r>
        <w:rPr>
          <w:rFonts w:hint="eastAsia"/>
        </w:rPr>
        <w:t>根据委托方及主管部门（单位）的介绍及相关文件的解读，了解预算绩效管理培训项目情况，确定本次绩效评价类型、适用的原理框架、评价重点领域及涉及到的相关方。</w:t>
      </w:r>
    </w:p>
    <w:p w14:paraId="581A39E1" w14:textId="77777777" w:rsidR="003E73DC" w:rsidRDefault="00000000">
      <w:pPr>
        <w:rPr>
          <w:rFonts w:ascii="宋体" w:hAnsi="宋体" w:cs="宋体"/>
          <w:b/>
          <w:bCs/>
        </w:rPr>
      </w:pPr>
      <w:r>
        <w:rPr>
          <w:rFonts w:ascii="宋体" w:hAnsi="宋体" w:cs="宋体" w:hint="eastAsia"/>
          <w:b/>
          <w:bCs/>
        </w:rPr>
        <w:t>（2）绩效评价实施</w:t>
      </w:r>
    </w:p>
    <w:p w14:paraId="012B58A4" w14:textId="77777777" w:rsidR="003E73DC" w:rsidRDefault="00000000">
      <w:pPr>
        <w:ind w:firstLine="560"/>
      </w:pPr>
      <w:r>
        <w:rPr>
          <w:rFonts w:hint="eastAsia"/>
        </w:rPr>
        <w:t>评价证据的收集</w:t>
      </w:r>
      <w:r>
        <w:rPr>
          <w:rFonts w:hint="eastAsia"/>
          <w:b/>
          <w:bCs/>
        </w:rPr>
        <w:t>：</w:t>
      </w:r>
      <w:r>
        <w:rPr>
          <w:rFonts w:hint="eastAsia"/>
        </w:rPr>
        <w:t>绩效评价工作的科学合理开展建立在坚实的证据基础之上。绩效评价组决定从项目资金入手，对项目实施单位进行财务核查，一方面对专项资金支出合法性、合理性和合</w:t>
      </w:r>
      <w:proofErr w:type="gramStart"/>
      <w:r>
        <w:rPr>
          <w:rFonts w:hint="eastAsia"/>
        </w:rPr>
        <w:t>规</w:t>
      </w:r>
      <w:proofErr w:type="gramEnd"/>
      <w:r>
        <w:rPr>
          <w:rFonts w:hint="eastAsia"/>
        </w:rPr>
        <w:t>性进行客观、公正的核查，另一方面通过对资金进行梳理汇总分类，掌握项目组织实施的情况。重点关注资金支出产生和效益。</w:t>
      </w:r>
    </w:p>
    <w:p w14:paraId="76F42E44" w14:textId="77777777" w:rsidR="003E73DC" w:rsidRDefault="00000000">
      <w:pPr>
        <w:ind w:firstLine="560"/>
      </w:pPr>
      <w:r>
        <w:rPr>
          <w:rFonts w:hint="eastAsia"/>
        </w:rPr>
        <w:t>同时，组织对项目负责人及组织实施参与者的深度访谈，以了解项目资金使用的整体情况，诸如覆盖人群、使用方式、组织形式、取得成果及存在问题等，为</w:t>
      </w:r>
      <w:proofErr w:type="gramStart"/>
      <w:r>
        <w:rPr>
          <w:rFonts w:hint="eastAsia"/>
        </w:rPr>
        <w:t>评价组</w:t>
      </w:r>
      <w:proofErr w:type="gramEnd"/>
      <w:r>
        <w:rPr>
          <w:rFonts w:hint="eastAsia"/>
        </w:rPr>
        <w:t>调整工作重点提供信息支撑，也可对项目整体情况形成总体把握。</w:t>
      </w:r>
    </w:p>
    <w:p w14:paraId="109FEABB" w14:textId="77777777" w:rsidR="003E73DC" w:rsidRDefault="00000000">
      <w:pPr>
        <w:ind w:firstLine="560"/>
      </w:pPr>
      <w:r>
        <w:rPr>
          <w:rFonts w:hint="eastAsia"/>
        </w:rPr>
        <w:t>然后，对项目组织实施资料进行核实，这一阶段主要是进行项目相关证据的收集，为后续分析及报告撰写做好铺垫。</w:t>
      </w:r>
    </w:p>
    <w:p w14:paraId="61FCC8E5" w14:textId="77777777" w:rsidR="003E73DC" w:rsidRDefault="00000000">
      <w:pPr>
        <w:ind w:firstLine="560"/>
      </w:pPr>
      <w:r>
        <w:rPr>
          <w:rFonts w:hint="eastAsia"/>
        </w:rPr>
        <w:t>另外，对项目组织实施资料进行整理，了解项目实施受益群体范围，并进行问卷调查和组织座谈。</w:t>
      </w:r>
    </w:p>
    <w:p w14:paraId="39B3E58A" w14:textId="77777777" w:rsidR="003E73DC" w:rsidRDefault="00000000">
      <w:pPr>
        <w:ind w:firstLine="560"/>
      </w:pPr>
      <w:r>
        <w:rPr>
          <w:rFonts w:hint="eastAsia"/>
        </w:rPr>
        <w:t>评价证据审核：对收集到的评价证据，保持职业怀疑，通过核实基础数据的全面性、真实性以及统计口径的一致性等，增加评价证据的可置信程度。</w:t>
      </w:r>
      <w:r>
        <w:rPr>
          <w:rFonts w:hint="eastAsia"/>
        </w:rPr>
        <w:t xml:space="preserve"> </w:t>
      </w:r>
    </w:p>
    <w:p w14:paraId="4579ABA2" w14:textId="77777777" w:rsidR="003E73DC" w:rsidRDefault="00000000">
      <w:pPr>
        <w:ind w:firstLine="560"/>
      </w:pPr>
      <w:r>
        <w:rPr>
          <w:rFonts w:hint="eastAsia"/>
        </w:rPr>
        <w:t>绩效分析与评级：运用既定的分析方法，根据收集整理的证据和设定</w:t>
      </w:r>
      <w:r>
        <w:rPr>
          <w:rFonts w:hint="eastAsia"/>
        </w:rPr>
        <w:lastRenderedPageBreak/>
        <w:t>的评分标准进行分析，对各项评价指标进行评分。通过加权计算出最终的评价分值，并相应确定绩效等级。</w:t>
      </w:r>
    </w:p>
    <w:p w14:paraId="67BA5126" w14:textId="77777777" w:rsidR="003E73DC" w:rsidRDefault="00000000">
      <w:pPr>
        <w:ind w:firstLine="560"/>
      </w:pPr>
      <w:r>
        <w:rPr>
          <w:rFonts w:hint="eastAsia"/>
        </w:rPr>
        <w:t>形成评价结论：评价结论按照</w:t>
      </w:r>
      <w:proofErr w:type="gramStart"/>
      <w:r>
        <w:rPr>
          <w:rFonts w:hint="eastAsia"/>
        </w:rPr>
        <w:t>既定要求</w:t>
      </w:r>
      <w:proofErr w:type="gramEnd"/>
      <w:r>
        <w:rPr>
          <w:rFonts w:hint="eastAsia"/>
        </w:rPr>
        <w:t>在内外部组织讨论，从各评价维度对相关细节问题进行核实并权衡。评价结论了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14:paraId="71C7FCD6" w14:textId="77777777" w:rsidR="003E73DC" w:rsidRDefault="00000000">
      <w:pPr>
        <w:pStyle w:val="3"/>
        <w:ind w:leftChars="200" w:left="560" w:firstLineChars="0" w:firstLine="0"/>
      </w:pPr>
      <w:bookmarkStart w:id="20" w:name="_Toc15528"/>
      <w:r>
        <w:rPr>
          <w:rFonts w:hint="eastAsia"/>
        </w:rPr>
        <w:t>2</w:t>
      </w:r>
      <w:r>
        <w:rPr>
          <w:rFonts w:hint="eastAsia"/>
        </w:rPr>
        <w:t>、形成绩效评价报告</w:t>
      </w:r>
      <w:bookmarkEnd w:id="20"/>
    </w:p>
    <w:p w14:paraId="203B9C60" w14:textId="77777777" w:rsidR="003E73DC" w:rsidRDefault="00000000">
      <w:pPr>
        <w:rPr>
          <w:b/>
          <w:bCs/>
        </w:rPr>
      </w:pPr>
      <w:r>
        <w:rPr>
          <w:rFonts w:hint="eastAsia"/>
          <w:b/>
          <w:bCs/>
        </w:rPr>
        <w:t>（</w:t>
      </w:r>
      <w:r>
        <w:rPr>
          <w:rFonts w:hint="eastAsia"/>
          <w:b/>
          <w:bCs/>
        </w:rPr>
        <w:t>1</w:t>
      </w:r>
      <w:r>
        <w:rPr>
          <w:rFonts w:hint="eastAsia"/>
          <w:b/>
          <w:bCs/>
        </w:rPr>
        <w:t>）撰写绩效评价初稿</w:t>
      </w:r>
    </w:p>
    <w:p w14:paraId="29EAC174" w14:textId="77777777" w:rsidR="003E73DC" w:rsidRDefault="00000000">
      <w:pPr>
        <w:ind w:firstLine="560"/>
      </w:pPr>
      <w:proofErr w:type="gramStart"/>
      <w:r>
        <w:t>评价组</w:t>
      </w:r>
      <w:proofErr w:type="gramEnd"/>
      <w:r>
        <w:t>根据</w:t>
      </w:r>
      <w:r>
        <w:rPr>
          <w:rFonts w:hint="eastAsia"/>
        </w:rPr>
        <w:t>前述绩效分析和评价结论</w:t>
      </w:r>
      <w:r>
        <w:t>，</w:t>
      </w:r>
      <w:r>
        <w:rPr>
          <w:rFonts w:hint="eastAsia"/>
        </w:rPr>
        <w:t>按照绩效评价要求</w:t>
      </w:r>
      <w:r>
        <w:t>提炼撰写</w:t>
      </w:r>
      <w:r>
        <w:rPr>
          <w:rFonts w:hint="eastAsia"/>
        </w:rPr>
        <w:t>绩效</w:t>
      </w:r>
      <w:r>
        <w:t>报告</w:t>
      </w:r>
      <w:r>
        <w:rPr>
          <w:rFonts w:hint="eastAsia"/>
        </w:rPr>
        <w:t>，并在项目组内部进行审核主要关注报告格式是否规范，内容是否完整；绩效数据是否真实、可靠，是否进行了必要的核实工作；报告逻辑是否清晰，分析问题是否透彻。</w:t>
      </w:r>
    </w:p>
    <w:p w14:paraId="2E0C49EC" w14:textId="77777777" w:rsidR="003E73DC" w:rsidRDefault="00000000">
      <w:pPr>
        <w:rPr>
          <w:b/>
          <w:bCs/>
        </w:rPr>
      </w:pPr>
      <w:r>
        <w:rPr>
          <w:rFonts w:hint="eastAsia"/>
          <w:b/>
          <w:bCs/>
        </w:rPr>
        <w:t>（</w:t>
      </w:r>
      <w:r>
        <w:rPr>
          <w:rFonts w:hint="eastAsia"/>
          <w:b/>
          <w:bCs/>
        </w:rPr>
        <w:t>2</w:t>
      </w:r>
      <w:r>
        <w:rPr>
          <w:rFonts w:hint="eastAsia"/>
          <w:b/>
          <w:bCs/>
        </w:rPr>
        <w:t>）绩效评价报告复核</w:t>
      </w:r>
    </w:p>
    <w:p w14:paraId="287CA0DA" w14:textId="77777777" w:rsidR="003E73DC" w:rsidRDefault="00000000">
      <w:pPr>
        <w:ind w:firstLine="560"/>
      </w:pPr>
      <w:r>
        <w:rPr>
          <w:rFonts w:hint="eastAsia"/>
        </w:rPr>
        <w:t>将评价报告初稿提交领导及项目实施单位进行复核，主要关注报告结论是否全面、准确；经验、教训的总结是否深刻，建议是否可行等。</w:t>
      </w:r>
    </w:p>
    <w:p w14:paraId="503394ED" w14:textId="77777777" w:rsidR="003E73DC" w:rsidRDefault="00000000">
      <w:pPr>
        <w:rPr>
          <w:b/>
          <w:bCs/>
        </w:rPr>
      </w:pPr>
      <w:r>
        <w:rPr>
          <w:rFonts w:hint="eastAsia"/>
          <w:b/>
          <w:bCs/>
        </w:rPr>
        <w:t>（</w:t>
      </w:r>
      <w:r>
        <w:rPr>
          <w:rFonts w:hint="eastAsia"/>
          <w:b/>
          <w:bCs/>
        </w:rPr>
        <w:t>3</w:t>
      </w:r>
      <w:r>
        <w:rPr>
          <w:rFonts w:hint="eastAsia"/>
          <w:b/>
          <w:bCs/>
        </w:rPr>
        <w:t>）形成评价报告终稿</w:t>
      </w:r>
    </w:p>
    <w:p w14:paraId="65E517BF" w14:textId="77777777" w:rsidR="003E73DC" w:rsidRDefault="00000000">
      <w:pPr>
        <w:ind w:firstLine="560"/>
      </w:pPr>
      <w:r>
        <w:rPr>
          <w:rFonts w:hint="eastAsia"/>
        </w:rPr>
        <w:t>在我局领导及项目实施单位对评价报告意见和建议的基础上，修改并完善评价报告。</w:t>
      </w:r>
    </w:p>
    <w:p w14:paraId="20CCD773" w14:textId="77777777" w:rsidR="003E73DC" w:rsidRDefault="00000000">
      <w:pPr>
        <w:pStyle w:val="1"/>
        <w:numPr>
          <w:ilvl w:val="0"/>
          <w:numId w:val="6"/>
        </w:numPr>
        <w:rPr>
          <w:rStyle w:val="10"/>
          <w:b/>
          <w:bCs/>
        </w:rPr>
      </w:pPr>
      <w:bookmarkStart w:id="21" w:name="_Toc9365"/>
      <w:r>
        <w:rPr>
          <w:rStyle w:val="10"/>
          <w:rFonts w:hint="eastAsia"/>
          <w:b/>
          <w:bCs/>
        </w:rPr>
        <w:lastRenderedPageBreak/>
        <w:t>综合评价情况及评价结论</w:t>
      </w:r>
      <w:bookmarkEnd w:id="21"/>
    </w:p>
    <w:p w14:paraId="6D72212E" w14:textId="77777777" w:rsidR="003E73DC" w:rsidRDefault="00000000">
      <w:pPr>
        <w:pStyle w:val="2"/>
        <w:numPr>
          <w:ilvl w:val="0"/>
          <w:numId w:val="7"/>
        </w:numPr>
        <w:spacing w:before="204" w:after="204"/>
      </w:pPr>
      <w:bookmarkStart w:id="22" w:name="_Toc19475"/>
      <w:r>
        <w:rPr>
          <w:rFonts w:hint="eastAsia"/>
        </w:rPr>
        <w:t>综合评价情况及其结论</w:t>
      </w:r>
      <w:bookmarkEnd w:id="22"/>
    </w:p>
    <w:p w14:paraId="4E6FC9B6" w14:textId="77777777" w:rsidR="003E73DC" w:rsidRDefault="00000000">
      <w:pPr>
        <w:pStyle w:val="a0"/>
        <w:ind w:firstLine="560"/>
      </w:pPr>
      <w:r>
        <w:t>运用</w:t>
      </w:r>
      <w:proofErr w:type="gramStart"/>
      <w:r>
        <w:t>由评价组研发</w:t>
      </w:r>
      <w:proofErr w:type="gramEnd"/>
      <w:r>
        <w:t>的评价指标体系及评分标准，通过数据采集、问卷调查及访谈，对</w:t>
      </w:r>
      <w:r>
        <w:rPr>
          <w:rFonts w:hint="eastAsia"/>
        </w:rPr>
        <w:t>南昌经济技术开发区经济贸易发展局</w:t>
      </w:r>
      <w:r>
        <w:rPr>
          <w:rFonts w:hint="eastAsia"/>
        </w:rPr>
        <w:t>2021</w:t>
      </w:r>
      <w:r>
        <w:rPr>
          <w:rFonts w:hint="eastAsia"/>
        </w:rPr>
        <w:t>年度第十二届中国卫星导航年会江西地方形象馆项目</w:t>
      </w:r>
      <w:r>
        <w:rPr>
          <w:rFonts w:ascii="宋体" w:hAnsi="宋体" w:cs="宋体" w:hint="eastAsia"/>
        </w:rPr>
        <w:t>进行客观评价，项目完成预期目标，完成第十二届中国卫星导航年会开展，建设江西地方形象馆，提升江西省地方形象，推动系统建设与产业发展，同时建立会场垃圾回收机制，通过对参会人员进行满意度调查，发放40份调查问卷，满意度达97.5%</w:t>
      </w:r>
      <w:r>
        <w:rPr>
          <w:rFonts w:hint="eastAsia"/>
        </w:rPr>
        <w:t>。</w:t>
      </w:r>
      <w:r>
        <w:rPr>
          <w:rFonts w:ascii="宋体" w:hAnsi="宋体" w:cs="宋体" w:hint="eastAsia"/>
        </w:rPr>
        <w:t>最终评分结果：总得分为96</w:t>
      </w:r>
      <w:r>
        <w:rPr>
          <w:rFonts w:ascii="宋体" w:hAnsi="宋体" w:cs="宋体" w:hint="eastAsia"/>
          <w:b/>
          <w:bCs/>
        </w:rPr>
        <w:t>分</w:t>
      </w:r>
      <w:r>
        <w:rPr>
          <w:rFonts w:ascii="宋体" w:hAnsi="宋体" w:cs="宋体" w:hint="eastAsia"/>
        </w:rPr>
        <w:t>，</w:t>
      </w:r>
      <w:proofErr w:type="gramStart"/>
      <w:r>
        <w:rPr>
          <w:rFonts w:ascii="宋体" w:hAnsi="宋体" w:cs="宋体" w:hint="eastAsia"/>
        </w:rPr>
        <w:t>自评价</w:t>
      </w:r>
      <w:proofErr w:type="gramEnd"/>
      <w:r>
        <w:rPr>
          <w:rFonts w:ascii="宋体" w:hAnsi="宋体" w:cs="宋体" w:hint="eastAsia"/>
        </w:rPr>
        <w:t>等级为</w:t>
      </w:r>
      <w:r>
        <w:rPr>
          <w:rFonts w:ascii="宋体" w:hAnsi="宋体" w:cs="宋体" w:hint="eastAsia"/>
          <w:b/>
          <w:bCs/>
        </w:rPr>
        <w:t>“优”</w:t>
      </w:r>
      <w:r>
        <w:rPr>
          <w:rFonts w:ascii="宋体" w:hAnsi="宋体" w:cs="宋体" w:hint="eastAsia"/>
        </w:rPr>
        <w:t>（具体得分见表1）。</w:t>
      </w:r>
    </w:p>
    <w:p w14:paraId="319A2974" w14:textId="77777777" w:rsidR="003E73DC" w:rsidRDefault="00000000">
      <w:pPr>
        <w:pStyle w:val="1"/>
      </w:pPr>
      <w:bookmarkStart w:id="23" w:name="_Toc14392"/>
      <w:r>
        <w:rPr>
          <w:rFonts w:hint="eastAsia"/>
        </w:rPr>
        <w:t>四、绩效评价指标分析</w:t>
      </w:r>
      <w:bookmarkEnd w:id="23"/>
    </w:p>
    <w:p w14:paraId="023514EC" w14:textId="77777777" w:rsidR="003E73DC" w:rsidRDefault="00000000">
      <w:pPr>
        <w:pStyle w:val="2"/>
        <w:spacing w:before="204" w:after="204"/>
      </w:pPr>
      <w:bookmarkStart w:id="24" w:name="_Toc2714"/>
      <w:r>
        <w:rPr>
          <w:rFonts w:hint="eastAsia"/>
        </w:rPr>
        <w:t>（一）项目决策情况</w:t>
      </w:r>
      <w:bookmarkEnd w:id="24"/>
    </w:p>
    <w:p w14:paraId="497043AD" w14:textId="77777777" w:rsidR="003E73DC" w:rsidRDefault="00000000">
      <w:pPr>
        <w:ind w:firstLine="560"/>
      </w:pPr>
      <w:r>
        <w:rPr>
          <w:rFonts w:hint="eastAsia"/>
        </w:rPr>
        <w:t>第十二届中国卫星导航年会于</w:t>
      </w:r>
      <w:r>
        <w:rPr>
          <w:rFonts w:hint="eastAsia"/>
        </w:rPr>
        <w:t>2021</w:t>
      </w:r>
      <w:r>
        <w:rPr>
          <w:rFonts w:hint="eastAsia"/>
        </w:rPr>
        <w:t>年</w:t>
      </w:r>
      <w:r>
        <w:rPr>
          <w:rFonts w:hint="eastAsia"/>
        </w:rPr>
        <w:t>5</w:t>
      </w:r>
      <w:r>
        <w:rPr>
          <w:rFonts w:hint="eastAsia"/>
        </w:rPr>
        <w:t>月</w:t>
      </w:r>
      <w:r>
        <w:rPr>
          <w:rFonts w:hint="eastAsia"/>
        </w:rPr>
        <w:t>26</w:t>
      </w:r>
      <w:r>
        <w:rPr>
          <w:rFonts w:hint="eastAsia"/>
        </w:rPr>
        <w:t>—</w:t>
      </w:r>
      <w:r>
        <w:rPr>
          <w:rFonts w:hint="eastAsia"/>
        </w:rPr>
        <w:t>28</w:t>
      </w:r>
      <w:r>
        <w:rPr>
          <w:rFonts w:hint="eastAsia"/>
        </w:rPr>
        <w:t>日在南昌盛大举行。中国卫星导航年会是一个开放性的学术交流平台，旨在加强学术创新，促进卫星导航系统的合作与交流，加强技术创新，促进卫星导航系统工程建设；加强理论创新，促进卫星导航理论进步；加强应用创新，促进卫星导航产业的科学发展。本次大会举办工作与经发局部门职责范围相符，属于部门履职的基本要求。项目为预算内资金，与相关部门同类项目不重复或冲突。项目按照经开区规定程序进行申请设立，审批文件与材料符合相</w:t>
      </w:r>
      <w:r>
        <w:rPr>
          <w:rFonts w:hint="eastAsia"/>
        </w:rPr>
        <w:lastRenderedPageBreak/>
        <w:t>关要求，事前已经经过了必要的可行性研究。</w:t>
      </w:r>
    </w:p>
    <w:p w14:paraId="72E1288D" w14:textId="77777777" w:rsidR="003E73DC" w:rsidRDefault="00000000">
      <w:pPr>
        <w:pStyle w:val="a0"/>
        <w:ind w:firstLine="560"/>
      </w:pPr>
      <w:r>
        <w:rPr>
          <w:rFonts w:hint="eastAsia"/>
        </w:rPr>
        <w:t>项目依据实际工作内容针对江西地方形象馆建设情况设置了与项目高度相关的绩效目标，项目预期产出效益和效果完全符合正常的业绩水平，预算确定的资金量与项目本身较匹配。同时为了现实绩效目标的完成情况，经发局进一步将绩效目标分解为项目绩效指标，使其能够清晰衡量小项目的实际开展情况，保证项目目标数的完成进度。</w:t>
      </w:r>
    </w:p>
    <w:p w14:paraId="42DD9EDC" w14:textId="77777777" w:rsidR="003E73DC" w:rsidRDefault="00000000">
      <w:pPr>
        <w:pStyle w:val="a0"/>
        <w:ind w:firstLine="560"/>
      </w:pPr>
      <w:r>
        <w:rPr>
          <w:rFonts w:hint="eastAsia"/>
        </w:rPr>
        <w:t>在资金投入方面，项目预算编制经过了实施单位以及上级领导的科学论证，并根据预算编制依据和体量进行了合理的资金分配。</w:t>
      </w:r>
    </w:p>
    <w:p w14:paraId="4B243EA7" w14:textId="77777777" w:rsidR="003E73DC" w:rsidRDefault="00000000">
      <w:pPr>
        <w:pStyle w:val="2"/>
        <w:numPr>
          <w:ilvl w:val="0"/>
          <w:numId w:val="7"/>
        </w:numPr>
        <w:spacing w:before="204" w:after="204"/>
      </w:pPr>
      <w:bookmarkStart w:id="25" w:name="_Toc21234"/>
      <w:r>
        <w:rPr>
          <w:rFonts w:hint="eastAsia"/>
        </w:rPr>
        <w:t>项目过程情况</w:t>
      </w:r>
      <w:bookmarkEnd w:id="25"/>
    </w:p>
    <w:p w14:paraId="4884799D" w14:textId="77777777" w:rsidR="003E73DC" w:rsidRDefault="00000000">
      <w:pPr>
        <w:ind w:firstLine="560"/>
      </w:pPr>
      <w:r>
        <w:rPr>
          <w:rFonts w:hint="eastAsia"/>
        </w:rPr>
        <w:t>2021</w:t>
      </w:r>
      <w:r>
        <w:rPr>
          <w:rFonts w:hint="eastAsia"/>
        </w:rPr>
        <w:t>年度第十二届中国卫星导航年会江西地方形象馆项目年初预算</w:t>
      </w:r>
      <w:r>
        <w:rPr>
          <w:rFonts w:hint="eastAsia"/>
        </w:rPr>
        <w:t>230</w:t>
      </w:r>
      <w:r>
        <w:rPr>
          <w:rFonts w:hint="eastAsia"/>
        </w:rPr>
        <w:t>万元，实际预算资金为</w:t>
      </w:r>
      <w:r>
        <w:rPr>
          <w:rFonts w:hint="eastAsia"/>
        </w:rPr>
        <w:t>180</w:t>
      </w:r>
      <w:r>
        <w:rPr>
          <w:rFonts w:hint="eastAsia"/>
        </w:rPr>
        <w:t>万元，实际到位资金</w:t>
      </w:r>
      <w:r>
        <w:rPr>
          <w:rFonts w:hint="eastAsia"/>
        </w:rPr>
        <w:t>180</w:t>
      </w:r>
      <w:r>
        <w:rPr>
          <w:rFonts w:hint="eastAsia"/>
        </w:rPr>
        <w:t>万元，资金到位率</w:t>
      </w:r>
      <w:r>
        <w:rPr>
          <w:rFonts w:hint="eastAsia"/>
        </w:rPr>
        <w:t>=</w:t>
      </w:r>
      <w:r>
        <w:rPr>
          <w:rFonts w:hint="eastAsia"/>
        </w:rPr>
        <w:t>（实际到位资金÷全年预算资金）×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。该项目全年预算执行数为</w:t>
      </w:r>
      <w:r>
        <w:rPr>
          <w:rFonts w:hint="eastAsia"/>
        </w:rPr>
        <w:t>180</w:t>
      </w:r>
      <w:r>
        <w:rPr>
          <w:rFonts w:hint="eastAsia"/>
        </w:rPr>
        <w:t>万元，预算执行率</w:t>
      </w:r>
      <w:r>
        <w:rPr>
          <w:rFonts w:hint="eastAsia"/>
        </w:rPr>
        <w:t>=</w:t>
      </w:r>
      <w:r>
        <w:rPr>
          <w:rFonts w:hint="eastAsia"/>
        </w:rPr>
        <w:t>（实际支出资金÷实际到位资金）×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w:t>
      </w:r>
    </w:p>
    <w:p w14:paraId="1D3A59EC" w14:textId="77777777" w:rsidR="003E73DC" w:rsidRDefault="00000000">
      <w:pPr>
        <w:pStyle w:val="a0"/>
        <w:ind w:firstLine="560"/>
      </w:pPr>
      <w:r>
        <w:rPr>
          <w:rFonts w:hint="eastAsia"/>
        </w:rPr>
        <w:t>项目资金的事情符合国家财经法规规定，资金的拨付有完整的审批程序和手续，相关材料留底并整理归档，资金的使用符合项目预算批复以及合同规定的用途，未出现截留、挤占、挪用、虚列支出等违规情况。在项目组织实施过程中，实施单位制定了相应的财务与业务管理制度，主要参照第十二届中国卫星导航年会</w:t>
      </w:r>
      <w:r>
        <w:rPr>
          <w:rFonts w:hint="eastAsia"/>
        </w:rPr>
        <w:t>(CSNC 2021) (</w:t>
      </w:r>
      <w:r>
        <w:rPr>
          <w:rFonts w:hint="eastAsia"/>
        </w:rPr>
        <w:t>第</w:t>
      </w:r>
      <w:r>
        <w:rPr>
          <w:rFonts w:hint="eastAsia"/>
        </w:rPr>
        <w:t>2</w:t>
      </w:r>
      <w:r>
        <w:rPr>
          <w:rFonts w:hint="eastAsia"/>
        </w:rPr>
        <w:t>号通知</w:t>
      </w:r>
      <w:r>
        <w:rPr>
          <w:rFonts w:hint="eastAsia"/>
        </w:rPr>
        <w:t>)</w:t>
      </w:r>
      <w:r>
        <w:rPr>
          <w:rFonts w:hint="eastAsia"/>
          <w:szCs w:val="28"/>
        </w:rPr>
        <w:t>执行，经费支出主要依据第十二届中国卫星导航年会项目</w:t>
      </w:r>
      <w:r>
        <w:rPr>
          <w:rFonts w:hint="eastAsia"/>
          <w:szCs w:val="28"/>
        </w:rPr>
        <w:t>-</w:t>
      </w:r>
      <w:r>
        <w:rPr>
          <w:rFonts w:hint="eastAsia"/>
          <w:szCs w:val="28"/>
        </w:rPr>
        <w:t>招标公告（招标编号：</w:t>
      </w:r>
      <w:r>
        <w:rPr>
          <w:rFonts w:hint="eastAsia"/>
          <w:szCs w:val="28"/>
        </w:rPr>
        <w:lastRenderedPageBreak/>
        <w:t>TC210N024</w:t>
      </w:r>
      <w:r>
        <w:rPr>
          <w:rFonts w:hint="eastAsia"/>
          <w:szCs w:val="28"/>
        </w:rPr>
        <w:t>）。为了保障上述制度的有效执行，经发局加强对项目实施的监管，项目全年未进行支出调整，项目合同书、验收报告等资料整理齐全并及时归档。</w:t>
      </w:r>
    </w:p>
    <w:p w14:paraId="62987D10" w14:textId="77777777" w:rsidR="003E73DC" w:rsidRDefault="00000000">
      <w:pPr>
        <w:pStyle w:val="2"/>
        <w:numPr>
          <w:ilvl w:val="0"/>
          <w:numId w:val="7"/>
        </w:numPr>
        <w:spacing w:before="204" w:after="204"/>
      </w:pPr>
      <w:bookmarkStart w:id="26" w:name="_Toc28572"/>
      <w:r>
        <w:rPr>
          <w:rFonts w:hint="eastAsia"/>
        </w:rPr>
        <w:t>项目产出情况</w:t>
      </w:r>
      <w:bookmarkEnd w:id="26"/>
    </w:p>
    <w:p w14:paraId="0F02AFD9" w14:textId="77777777" w:rsidR="003E73DC" w:rsidRDefault="00000000">
      <w:pPr>
        <w:pStyle w:val="a0"/>
        <w:ind w:firstLine="560"/>
      </w:pPr>
      <w:r>
        <w:rPr>
          <w:rFonts w:hint="eastAsia"/>
        </w:rPr>
        <w:t>2021</w:t>
      </w:r>
      <w:r>
        <w:rPr>
          <w:rFonts w:hint="eastAsia"/>
        </w:rPr>
        <w:t>年度第十二届中国卫星导航年会江西地方形象馆项目通过地方形象馆展示江西地方特色文化及“北斗产业发展样板区”建设成果，在南昌经开区，北斗产业园、北斗科技园、北斗大厦、北斗应用研究院已落地运行，一批重大北斗关联项目相继落户。该区依托国家北斗卫星导航综合应用示范项目的建设，以北斗</w:t>
      </w:r>
      <w:r>
        <w:rPr>
          <w:rFonts w:hint="eastAsia"/>
        </w:rPr>
        <w:t>+</w:t>
      </w:r>
      <w:r>
        <w:rPr>
          <w:rFonts w:hint="eastAsia"/>
        </w:rPr>
        <w:t>低空空域改革为切入点，全力推动北斗相关产业的发展。按照设计项目使用需求，南昌经开区建设了面积超</w:t>
      </w:r>
      <w:r>
        <w:rPr>
          <w:rFonts w:hint="eastAsia"/>
        </w:rPr>
        <w:t>1</w:t>
      </w:r>
      <w:r>
        <w:rPr>
          <w:rFonts w:hint="eastAsia"/>
        </w:rPr>
        <w:t>万平方米的北斗大厦，目前已完成建设并交付使用。</w:t>
      </w:r>
    </w:p>
    <w:p w14:paraId="7520D3EC" w14:textId="77777777" w:rsidR="003E73DC" w:rsidRDefault="00000000">
      <w:pPr>
        <w:pStyle w:val="a0"/>
        <w:ind w:firstLine="560"/>
      </w:pPr>
      <w:r>
        <w:rPr>
          <w:rFonts w:hint="eastAsia"/>
        </w:rPr>
        <w:t>项目工作的实施质量完全符合</w:t>
      </w:r>
      <w:r>
        <w:rPr>
          <w:rFonts w:hint="eastAsia"/>
          <w:szCs w:val="28"/>
        </w:rPr>
        <w:t>《第十二届中国卫星导航年会</w:t>
      </w:r>
      <w:r>
        <w:rPr>
          <w:rFonts w:hint="eastAsia"/>
          <w:szCs w:val="28"/>
        </w:rPr>
        <w:t xml:space="preserve">(CSNC 2021) </w:t>
      </w:r>
      <w:r>
        <w:rPr>
          <w:rFonts w:hint="eastAsia"/>
          <w:szCs w:val="28"/>
        </w:rPr>
        <w:t>》</w:t>
      </w:r>
      <w:r>
        <w:rPr>
          <w:rFonts w:hint="eastAsia"/>
          <w:szCs w:val="28"/>
        </w:rPr>
        <w:t>(</w:t>
      </w:r>
      <w:r>
        <w:rPr>
          <w:rFonts w:hint="eastAsia"/>
          <w:szCs w:val="28"/>
        </w:rPr>
        <w:t>第</w:t>
      </w:r>
      <w:r>
        <w:rPr>
          <w:rFonts w:hint="eastAsia"/>
          <w:szCs w:val="28"/>
        </w:rPr>
        <w:t>2</w:t>
      </w:r>
      <w:r>
        <w:rPr>
          <w:rFonts w:hint="eastAsia"/>
          <w:szCs w:val="28"/>
        </w:rPr>
        <w:t>号通知</w:t>
      </w:r>
      <w:r>
        <w:rPr>
          <w:rFonts w:hint="eastAsia"/>
          <w:szCs w:val="28"/>
        </w:rPr>
        <w:t>)</w:t>
      </w:r>
      <w:r>
        <w:rPr>
          <w:rFonts w:hint="eastAsia"/>
          <w:szCs w:val="28"/>
        </w:rPr>
        <w:t>文件要求</w:t>
      </w:r>
      <w:r>
        <w:rPr>
          <w:rFonts w:hint="eastAsia"/>
        </w:rPr>
        <w:t>。项目未出现超时延期的现象，于</w:t>
      </w:r>
      <w:r>
        <w:rPr>
          <w:rFonts w:hint="eastAsia"/>
        </w:rPr>
        <w:t>2021</w:t>
      </w:r>
      <w:r>
        <w:rPr>
          <w:rFonts w:hint="eastAsia"/>
        </w:rPr>
        <w:t>年</w:t>
      </w:r>
      <w:r>
        <w:rPr>
          <w:rFonts w:hint="eastAsia"/>
        </w:rPr>
        <w:t>5</w:t>
      </w:r>
      <w:r>
        <w:rPr>
          <w:rFonts w:hint="eastAsia"/>
        </w:rPr>
        <w:t>月</w:t>
      </w:r>
      <w:r>
        <w:rPr>
          <w:rFonts w:hint="eastAsia"/>
        </w:rPr>
        <w:t>26</w:t>
      </w:r>
      <w:r>
        <w:rPr>
          <w:rFonts w:hint="eastAsia"/>
        </w:rPr>
        <w:t>—</w:t>
      </w:r>
      <w:r>
        <w:rPr>
          <w:rFonts w:hint="eastAsia"/>
        </w:rPr>
        <w:t>28</w:t>
      </w:r>
      <w:r>
        <w:rPr>
          <w:rFonts w:hint="eastAsia"/>
        </w:rPr>
        <w:t>日正式参展，成本节约率</w:t>
      </w:r>
      <w:r>
        <w:rPr>
          <w:rFonts w:hint="eastAsia"/>
        </w:rPr>
        <w:t>=[</w:t>
      </w:r>
      <w:r>
        <w:rPr>
          <w:rFonts w:hint="eastAsia"/>
        </w:rPr>
        <w:t>（计划成本</w:t>
      </w:r>
      <w:r>
        <w:rPr>
          <w:rFonts w:hint="eastAsia"/>
        </w:rPr>
        <w:t>-</w:t>
      </w:r>
      <w:r>
        <w:rPr>
          <w:rFonts w:hint="eastAsia"/>
        </w:rPr>
        <w:t>实际成本）÷计划成本</w:t>
      </w:r>
      <w:r>
        <w:rPr>
          <w:rFonts w:hint="eastAsia"/>
        </w:rPr>
        <w:t>]</w:t>
      </w:r>
      <w:r>
        <w:rPr>
          <w:rFonts w:hint="eastAsia"/>
        </w:rPr>
        <w:t>×</w:t>
      </w:r>
      <w:r>
        <w:rPr>
          <w:rFonts w:hint="eastAsia"/>
        </w:rPr>
        <w:t>100%=[</w:t>
      </w:r>
      <w:r>
        <w:rPr>
          <w:rFonts w:hint="eastAsia"/>
        </w:rPr>
        <w:t>（</w:t>
      </w:r>
      <w:r>
        <w:rPr>
          <w:rFonts w:hint="eastAsia"/>
        </w:rPr>
        <w:t>180-180</w:t>
      </w:r>
      <w:r>
        <w:rPr>
          <w:rFonts w:hint="eastAsia"/>
        </w:rPr>
        <w:t>）÷</w:t>
      </w:r>
      <w:r>
        <w:rPr>
          <w:rFonts w:hint="eastAsia"/>
        </w:rPr>
        <w:t>180]</w:t>
      </w:r>
      <w:r>
        <w:rPr>
          <w:rFonts w:hint="eastAsia"/>
        </w:rPr>
        <w:t>×</w:t>
      </w:r>
      <w:r>
        <w:rPr>
          <w:rFonts w:hint="eastAsia"/>
        </w:rPr>
        <w:t>100%=0%</w:t>
      </w:r>
      <w:r>
        <w:rPr>
          <w:rFonts w:hint="eastAsia"/>
        </w:rPr>
        <w:t>。</w:t>
      </w:r>
    </w:p>
    <w:p w14:paraId="076EF881" w14:textId="77777777" w:rsidR="003E73DC" w:rsidRDefault="00000000">
      <w:pPr>
        <w:pStyle w:val="2"/>
        <w:numPr>
          <w:ilvl w:val="0"/>
          <w:numId w:val="7"/>
        </w:numPr>
        <w:spacing w:before="204" w:after="204"/>
      </w:pPr>
      <w:bookmarkStart w:id="27" w:name="_Toc23545"/>
      <w:r>
        <w:rPr>
          <w:rFonts w:hint="eastAsia"/>
        </w:rPr>
        <w:t>项目效益情况</w:t>
      </w:r>
      <w:bookmarkEnd w:id="27"/>
    </w:p>
    <w:p w14:paraId="47401267" w14:textId="77777777" w:rsidR="003E73DC" w:rsidRDefault="00000000">
      <w:pPr>
        <w:pStyle w:val="a0"/>
        <w:ind w:firstLine="560"/>
      </w:pPr>
      <w:r>
        <w:t>本届年会地方特色明显，江西北斗应用产业论坛、江西地方形象馆等一系列具有江西特色的活动和展览，展现出江西在北斗产业发展方面的显著成果。</w:t>
      </w:r>
      <w:r>
        <w:rPr>
          <w:rFonts w:hint="eastAsia"/>
        </w:rPr>
        <w:t>同时</w:t>
      </w:r>
      <w:r>
        <w:t>来自中国、美国、俄罗斯、欧盟、日本等各国卫星导航系统</w:t>
      </w:r>
      <w:r>
        <w:lastRenderedPageBreak/>
        <w:t>主管部门和联合国外空司代表，分别介绍了各自卫星导航系统最新进展和联合国在卫星导航领域所开展的工作情况。</w:t>
      </w:r>
    </w:p>
    <w:p w14:paraId="000ED356" w14:textId="77777777" w:rsidR="003E73DC" w:rsidRDefault="00000000">
      <w:pPr>
        <w:pStyle w:val="1"/>
      </w:pPr>
      <w:bookmarkStart w:id="28" w:name="_Toc9605"/>
      <w:r>
        <w:rPr>
          <w:rFonts w:hint="eastAsia"/>
        </w:rPr>
        <w:t>五、主要经验及做法、存在的问题及原因分析</w:t>
      </w:r>
      <w:bookmarkEnd w:id="28"/>
    </w:p>
    <w:p w14:paraId="53CE3C85" w14:textId="77777777" w:rsidR="003E73DC" w:rsidRDefault="00000000">
      <w:pPr>
        <w:pStyle w:val="2"/>
        <w:spacing w:before="204" w:after="204"/>
      </w:pPr>
      <w:bookmarkStart w:id="29" w:name="_Toc23528"/>
      <w:r>
        <w:rPr>
          <w:rFonts w:hint="eastAsia"/>
        </w:rPr>
        <w:t>（一）主要经验及做法</w:t>
      </w:r>
      <w:bookmarkEnd w:id="29"/>
    </w:p>
    <w:p w14:paraId="29F48F96" w14:textId="77777777" w:rsidR="003E73DC" w:rsidRDefault="00000000">
      <w:pPr>
        <w:ind w:firstLine="560"/>
      </w:pPr>
      <w:r>
        <w:t>开幕式期间颁发了由年会科学委员会特别设立的</w:t>
      </w:r>
      <w:r>
        <w:t>“</w:t>
      </w:r>
      <w:r>
        <w:t>北斗奖</w:t>
      </w:r>
      <w:r>
        <w:t>”</w:t>
      </w:r>
      <w:r>
        <w:t>，分别是中国工程院院士、北京卫星导航中心高级工程师谭述森，武汉导航与位置服务工业技术研究院院长韩绍伟博士，同时颁发了学术类、应用类、科普类等多项奖励。</w:t>
      </w:r>
    </w:p>
    <w:p w14:paraId="263549BB" w14:textId="77777777" w:rsidR="003E73DC" w:rsidRDefault="00000000">
      <w:pPr>
        <w:ind w:firstLine="560"/>
      </w:pPr>
      <w:r>
        <w:t>年会同期举行的第十二届中国卫星导航成就博览会，通过企业互动、学术互动、人才互动、群众互动，全面展示了北斗系统建设成就和应用产业发展成果</w:t>
      </w:r>
      <w:r>
        <w:rPr>
          <w:rFonts w:hint="eastAsia"/>
        </w:rPr>
        <w:t>。</w:t>
      </w:r>
    </w:p>
    <w:p w14:paraId="655A5569" w14:textId="77777777" w:rsidR="003E73DC" w:rsidRDefault="00000000">
      <w:pPr>
        <w:pStyle w:val="2"/>
        <w:numPr>
          <w:ilvl w:val="0"/>
          <w:numId w:val="8"/>
        </w:numPr>
        <w:spacing w:before="204" w:after="204"/>
        <w:rPr>
          <w:b w:val="0"/>
          <w:bCs w:val="0"/>
        </w:rPr>
      </w:pPr>
      <w:bookmarkStart w:id="30" w:name="_Toc731"/>
      <w:r>
        <w:rPr>
          <w:rFonts w:hint="eastAsia"/>
        </w:rPr>
        <w:t>存在的问题及原因分析</w:t>
      </w:r>
      <w:bookmarkEnd w:id="30"/>
    </w:p>
    <w:p w14:paraId="558B8C1D" w14:textId="77777777" w:rsidR="003E73DC" w:rsidRDefault="00000000">
      <w:pPr>
        <w:pStyle w:val="a0"/>
      </w:pPr>
      <w:proofErr w:type="gramStart"/>
      <w:r>
        <w:rPr>
          <w:rFonts w:hint="eastAsia"/>
          <w:b/>
          <w:bCs/>
        </w:rPr>
        <w:t>展会酒店</w:t>
      </w:r>
      <w:proofErr w:type="gramEnd"/>
      <w:r>
        <w:rPr>
          <w:rFonts w:hint="eastAsia"/>
          <w:b/>
          <w:bCs/>
        </w:rPr>
        <w:t>安排通知可进一步完善</w:t>
      </w:r>
      <w:r>
        <w:rPr>
          <w:rFonts w:hint="eastAsia"/>
        </w:rPr>
        <w:t>：第十二届中国卫星导航年会协议酒店分别为南昌万达美华酒店、</w:t>
      </w:r>
      <w:proofErr w:type="gramStart"/>
      <w:r>
        <w:rPr>
          <w:rFonts w:hint="eastAsia"/>
        </w:rPr>
        <w:t>南昌融创万达文华</w:t>
      </w:r>
      <w:proofErr w:type="gramEnd"/>
      <w:r>
        <w:rPr>
          <w:rFonts w:hint="eastAsia"/>
        </w:rPr>
        <w:t>酒店、</w:t>
      </w:r>
      <w:proofErr w:type="gramStart"/>
      <w:r>
        <w:rPr>
          <w:rFonts w:hint="eastAsia"/>
        </w:rPr>
        <w:t>南昌融创万达嘉华</w:t>
      </w:r>
      <w:proofErr w:type="gramEnd"/>
      <w:r>
        <w:rPr>
          <w:rFonts w:hint="eastAsia"/>
        </w:rPr>
        <w:t>酒店、</w:t>
      </w:r>
      <w:proofErr w:type="gramStart"/>
      <w:r>
        <w:rPr>
          <w:rFonts w:hint="eastAsia"/>
        </w:rPr>
        <w:t>南昌融创美</w:t>
      </w:r>
      <w:proofErr w:type="gramEnd"/>
      <w:r>
        <w:rPr>
          <w:rFonts w:hint="eastAsia"/>
        </w:rPr>
        <w:t>居酒店、南昌</w:t>
      </w:r>
      <w:proofErr w:type="gramStart"/>
      <w:r>
        <w:rPr>
          <w:rFonts w:hint="eastAsia"/>
        </w:rPr>
        <w:t>融创诺富特</w:t>
      </w:r>
      <w:proofErr w:type="gramEnd"/>
      <w:r>
        <w:rPr>
          <w:rFonts w:hint="eastAsia"/>
        </w:rPr>
        <w:t>酒店，大会期间安排摆渡车，但摆渡车时刻表安排通知为年会网站及</w:t>
      </w:r>
      <w:proofErr w:type="gramStart"/>
      <w:r>
        <w:rPr>
          <w:rFonts w:hint="eastAsia"/>
        </w:rPr>
        <w:t>微信公众号</w:t>
      </w:r>
      <w:proofErr w:type="gramEnd"/>
      <w:r>
        <w:rPr>
          <w:rFonts w:hint="eastAsia"/>
        </w:rPr>
        <w:t>，大会现场相关标识摆放不够醒目。</w:t>
      </w:r>
    </w:p>
    <w:p w14:paraId="658B0EBF" w14:textId="77777777" w:rsidR="003E73DC" w:rsidRDefault="00000000">
      <w:pPr>
        <w:pStyle w:val="1"/>
        <w:numPr>
          <w:ilvl w:val="0"/>
          <w:numId w:val="9"/>
        </w:numPr>
      </w:pPr>
      <w:bookmarkStart w:id="31" w:name="_Toc26146"/>
      <w:r>
        <w:rPr>
          <w:rFonts w:hint="eastAsia"/>
        </w:rPr>
        <w:lastRenderedPageBreak/>
        <w:t>有关建议</w:t>
      </w:r>
      <w:bookmarkEnd w:id="31"/>
    </w:p>
    <w:p w14:paraId="22C1A9E7" w14:textId="77777777" w:rsidR="003E73DC" w:rsidRDefault="00000000">
      <w:pPr>
        <w:pStyle w:val="a0"/>
        <w:ind w:firstLine="560"/>
      </w:pPr>
      <w:r>
        <w:rPr>
          <w:rFonts w:hint="eastAsia"/>
        </w:rPr>
        <w:t>一方面加强大会相关信息的宣传推广，利用</w:t>
      </w:r>
      <w:proofErr w:type="gramStart"/>
      <w:r>
        <w:rPr>
          <w:rFonts w:hint="eastAsia"/>
        </w:rPr>
        <w:t>年会官网网站</w:t>
      </w:r>
      <w:proofErr w:type="gramEnd"/>
      <w:r>
        <w:rPr>
          <w:rFonts w:hint="eastAsia"/>
        </w:rPr>
        <w:t>及</w:t>
      </w:r>
      <w:proofErr w:type="gramStart"/>
      <w:r>
        <w:rPr>
          <w:rFonts w:hint="eastAsia"/>
        </w:rPr>
        <w:t>微信公众号发布</w:t>
      </w:r>
      <w:proofErr w:type="gramEnd"/>
      <w:r>
        <w:rPr>
          <w:rFonts w:hint="eastAsia"/>
        </w:rPr>
        <w:t>年会摆渡车辆安排情况，同时在</w:t>
      </w:r>
      <w:proofErr w:type="gramStart"/>
      <w:r>
        <w:rPr>
          <w:rFonts w:hint="eastAsia"/>
        </w:rPr>
        <w:t>各协议</w:t>
      </w:r>
      <w:proofErr w:type="gramEnd"/>
      <w:r>
        <w:rPr>
          <w:rFonts w:hint="eastAsia"/>
        </w:rPr>
        <w:t>酒店周边醒目位置布置相关标识，进一步扩散摆渡车辆时刻信息，进一步完善大会成功举办，提升大会参会人员满意度</w:t>
      </w:r>
      <w:r>
        <w:t>。</w:t>
      </w:r>
    </w:p>
    <w:p w14:paraId="7A9FC7B3" w14:textId="77777777" w:rsidR="003E73DC" w:rsidRDefault="00000000">
      <w:pPr>
        <w:pStyle w:val="1"/>
      </w:pPr>
      <w:bookmarkStart w:id="32" w:name="_Toc20638"/>
      <w:bookmarkStart w:id="33" w:name="_Toc20774"/>
      <w:r>
        <w:rPr>
          <w:rFonts w:hint="eastAsia"/>
        </w:rPr>
        <w:t>七、其他需要说明的问题</w:t>
      </w:r>
      <w:bookmarkEnd w:id="32"/>
      <w:bookmarkEnd w:id="33"/>
    </w:p>
    <w:p w14:paraId="5EBD147D" w14:textId="77777777" w:rsidR="003E73DC" w:rsidRDefault="00000000">
      <w:pPr>
        <w:ind w:firstLine="560"/>
      </w:pPr>
      <w:r>
        <w:rPr>
          <w:rFonts w:hint="eastAsia"/>
        </w:rPr>
        <w:t>无</w:t>
      </w:r>
    </w:p>
    <w:p w14:paraId="16C7DFFF" w14:textId="77777777" w:rsidR="003E73DC" w:rsidRDefault="00000000">
      <w:pPr>
        <w:ind w:firstLine="560"/>
      </w:pPr>
      <w:r>
        <w:rPr>
          <w:rFonts w:hint="eastAsia"/>
        </w:rPr>
        <w:br w:type="page"/>
      </w:r>
    </w:p>
    <w:tbl>
      <w:tblPr>
        <w:tblW w:w="5000" w:type="pct"/>
        <w:tblLayout w:type="fixed"/>
        <w:tblLook w:val="04A0" w:firstRow="1" w:lastRow="0" w:firstColumn="1" w:lastColumn="0" w:noHBand="0" w:noVBand="1"/>
      </w:tblPr>
      <w:tblGrid>
        <w:gridCol w:w="618"/>
        <w:gridCol w:w="641"/>
        <w:gridCol w:w="1011"/>
        <w:gridCol w:w="765"/>
        <w:gridCol w:w="5409"/>
        <w:gridCol w:w="616"/>
      </w:tblGrid>
      <w:tr w:rsidR="003E73DC" w14:paraId="5FA39A48" w14:textId="77777777">
        <w:trPr>
          <w:trHeight w:val="840"/>
        </w:trPr>
        <w:tc>
          <w:tcPr>
            <w:tcW w:w="5000" w:type="pct"/>
            <w:gridSpan w:val="6"/>
            <w:tcBorders>
              <w:top w:val="nil"/>
              <w:left w:val="nil"/>
              <w:bottom w:val="single" w:sz="4" w:space="0" w:color="auto"/>
              <w:right w:val="nil"/>
            </w:tcBorders>
            <w:shd w:val="clear" w:color="auto" w:fill="FFFFFF"/>
            <w:vAlign w:val="center"/>
          </w:tcPr>
          <w:p w14:paraId="0CE8F249"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lastRenderedPageBreak/>
              <w:t>项目支出绩效评分表</w:t>
            </w:r>
          </w:p>
        </w:tc>
      </w:tr>
      <w:tr w:rsidR="003E73DC" w14:paraId="17B74BB7" w14:textId="77777777">
        <w:trPr>
          <w:trHeight w:val="840"/>
        </w:trPr>
        <w:tc>
          <w:tcPr>
            <w:tcW w:w="341" w:type="pct"/>
            <w:tcBorders>
              <w:top w:val="single" w:sz="4" w:space="0" w:color="auto"/>
              <w:left w:val="single" w:sz="4" w:space="0" w:color="000000"/>
              <w:bottom w:val="nil"/>
              <w:right w:val="nil"/>
            </w:tcBorders>
            <w:shd w:val="clear" w:color="auto" w:fill="auto"/>
            <w:vAlign w:val="center"/>
          </w:tcPr>
          <w:p w14:paraId="2262AC1A"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一级指标</w:t>
            </w:r>
          </w:p>
        </w:tc>
        <w:tc>
          <w:tcPr>
            <w:tcW w:w="354" w:type="pct"/>
            <w:tcBorders>
              <w:top w:val="single" w:sz="4" w:space="0" w:color="auto"/>
              <w:left w:val="single" w:sz="4" w:space="0" w:color="000000"/>
              <w:bottom w:val="nil"/>
              <w:right w:val="nil"/>
            </w:tcBorders>
            <w:shd w:val="clear" w:color="auto" w:fill="auto"/>
            <w:vAlign w:val="center"/>
          </w:tcPr>
          <w:p w14:paraId="3E712328"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二级指标</w:t>
            </w:r>
          </w:p>
        </w:tc>
        <w:tc>
          <w:tcPr>
            <w:tcW w:w="558"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55E9AD6"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三级指标</w:t>
            </w:r>
          </w:p>
        </w:tc>
        <w:tc>
          <w:tcPr>
            <w:tcW w:w="422" w:type="pct"/>
            <w:tcBorders>
              <w:top w:val="single" w:sz="4" w:space="0" w:color="auto"/>
              <w:left w:val="single" w:sz="4" w:space="0" w:color="000000"/>
              <w:bottom w:val="single" w:sz="4" w:space="0" w:color="000000"/>
              <w:right w:val="nil"/>
            </w:tcBorders>
            <w:shd w:val="clear" w:color="auto" w:fill="FFFFFF"/>
            <w:vAlign w:val="center"/>
          </w:tcPr>
          <w:p w14:paraId="6966CD65"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分值权重</w:t>
            </w:r>
          </w:p>
        </w:tc>
        <w:tc>
          <w:tcPr>
            <w:tcW w:w="2984"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7E28ABD"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评分标准</w:t>
            </w:r>
          </w:p>
        </w:tc>
        <w:tc>
          <w:tcPr>
            <w:tcW w:w="339" w:type="pct"/>
            <w:tcBorders>
              <w:top w:val="single" w:sz="4" w:space="0" w:color="auto"/>
              <w:left w:val="nil"/>
              <w:bottom w:val="single" w:sz="4" w:space="0" w:color="000000"/>
              <w:right w:val="single" w:sz="4" w:space="0" w:color="000000"/>
            </w:tcBorders>
            <w:shd w:val="clear" w:color="auto" w:fill="FFFFFF"/>
            <w:vAlign w:val="center"/>
          </w:tcPr>
          <w:p w14:paraId="38F12F7B"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评价得分</w:t>
            </w:r>
          </w:p>
        </w:tc>
      </w:tr>
      <w:tr w:rsidR="003E73DC" w14:paraId="1565822C" w14:textId="77777777">
        <w:trPr>
          <w:trHeight w:val="840"/>
        </w:trPr>
        <w:tc>
          <w:tcPr>
            <w:tcW w:w="341" w:type="pct"/>
            <w:vMerge w:val="restart"/>
            <w:tcBorders>
              <w:top w:val="single" w:sz="4" w:space="0" w:color="000000"/>
              <w:left w:val="single" w:sz="4" w:space="0" w:color="000000"/>
              <w:bottom w:val="nil"/>
              <w:right w:val="single" w:sz="4" w:space="0" w:color="000000"/>
            </w:tcBorders>
            <w:shd w:val="clear" w:color="auto" w:fill="auto"/>
            <w:vAlign w:val="center"/>
          </w:tcPr>
          <w:p w14:paraId="6DE070A3"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决策指标</w:t>
            </w:r>
          </w:p>
          <w:p w14:paraId="564E102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(15分)</w:t>
            </w: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CE9A9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项目立项</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0D2DF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立项依据充分性</w:t>
            </w:r>
          </w:p>
        </w:tc>
        <w:tc>
          <w:tcPr>
            <w:tcW w:w="422" w:type="pct"/>
            <w:vMerge w:val="restart"/>
            <w:tcBorders>
              <w:top w:val="single" w:sz="4" w:space="0" w:color="000000"/>
              <w:left w:val="single" w:sz="4" w:space="0" w:color="000000"/>
              <w:bottom w:val="nil"/>
              <w:right w:val="nil"/>
            </w:tcBorders>
            <w:shd w:val="clear" w:color="auto" w:fill="auto"/>
            <w:vAlign w:val="center"/>
          </w:tcPr>
          <w:p w14:paraId="64A9C69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2984" w:type="pct"/>
            <w:vMerge w:val="restart"/>
            <w:tcBorders>
              <w:top w:val="single" w:sz="4" w:space="0" w:color="000000"/>
              <w:left w:val="single" w:sz="4" w:space="0" w:color="000000"/>
              <w:bottom w:val="nil"/>
              <w:right w:val="single" w:sz="4" w:space="0" w:color="000000"/>
            </w:tcBorders>
            <w:shd w:val="clear" w:color="auto" w:fill="auto"/>
            <w:vAlign w:val="center"/>
          </w:tcPr>
          <w:p w14:paraId="6034182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项目立项符合国家法律法规、国民经济发展规划和相关政策，符合行业发展规划和政策要求，与部门职责范围相符，属于部门履职所需，得2分；项目未与相关部门同类项目或部门相关项目重复，得1分。</w:t>
            </w:r>
          </w:p>
        </w:tc>
        <w:tc>
          <w:tcPr>
            <w:tcW w:w="339" w:type="pct"/>
            <w:vMerge w:val="restart"/>
            <w:tcBorders>
              <w:top w:val="single" w:sz="4" w:space="0" w:color="000000"/>
              <w:left w:val="nil"/>
              <w:bottom w:val="single" w:sz="4" w:space="0" w:color="000000"/>
              <w:right w:val="single" w:sz="4" w:space="0" w:color="000000"/>
            </w:tcBorders>
            <w:shd w:val="clear" w:color="auto" w:fill="auto"/>
            <w:vAlign w:val="center"/>
          </w:tcPr>
          <w:p w14:paraId="498F315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59098086" w14:textId="77777777">
        <w:trPr>
          <w:trHeight w:val="408"/>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723F8D1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5045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54A55F"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422" w:type="pct"/>
            <w:vMerge/>
            <w:tcBorders>
              <w:top w:val="single" w:sz="4" w:space="0" w:color="000000"/>
              <w:left w:val="single" w:sz="4" w:space="0" w:color="000000"/>
              <w:bottom w:val="nil"/>
              <w:right w:val="nil"/>
            </w:tcBorders>
            <w:shd w:val="clear" w:color="auto" w:fill="auto"/>
            <w:vAlign w:val="center"/>
          </w:tcPr>
          <w:p w14:paraId="0A58FB97"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2984" w:type="pct"/>
            <w:vMerge/>
            <w:tcBorders>
              <w:top w:val="single" w:sz="4" w:space="0" w:color="000000"/>
              <w:left w:val="single" w:sz="4" w:space="0" w:color="000000"/>
              <w:bottom w:val="nil"/>
              <w:right w:val="single" w:sz="4" w:space="0" w:color="000000"/>
            </w:tcBorders>
            <w:shd w:val="clear" w:color="auto" w:fill="auto"/>
            <w:vAlign w:val="center"/>
          </w:tcPr>
          <w:p w14:paraId="12B88DA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39" w:type="pct"/>
            <w:vMerge/>
            <w:tcBorders>
              <w:top w:val="single" w:sz="4" w:space="0" w:color="000000"/>
              <w:left w:val="nil"/>
              <w:bottom w:val="single" w:sz="4" w:space="0" w:color="000000"/>
              <w:right w:val="single" w:sz="4" w:space="0" w:color="000000"/>
            </w:tcBorders>
            <w:shd w:val="clear" w:color="auto" w:fill="auto"/>
            <w:vAlign w:val="center"/>
          </w:tcPr>
          <w:p w14:paraId="4D1FD3B4" w14:textId="77777777" w:rsidR="003E73DC" w:rsidRDefault="003E73DC">
            <w:pPr>
              <w:spacing w:line="240" w:lineRule="atLeast"/>
              <w:ind w:firstLineChars="0" w:firstLine="0"/>
              <w:jc w:val="center"/>
              <w:rPr>
                <w:rFonts w:ascii="仿宋" w:eastAsia="仿宋" w:hAnsi="仿宋" w:cs="仿宋"/>
                <w:color w:val="000000"/>
                <w:sz w:val="18"/>
                <w:szCs w:val="18"/>
              </w:rPr>
            </w:pPr>
          </w:p>
        </w:tc>
      </w:tr>
      <w:tr w:rsidR="003E73DC" w14:paraId="461426C9"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5C94703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A2D304"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607CA"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立项程序规范性</w:t>
            </w:r>
          </w:p>
        </w:tc>
        <w:tc>
          <w:tcPr>
            <w:tcW w:w="422" w:type="pct"/>
            <w:tcBorders>
              <w:top w:val="single" w:sz="4" w:space="0" w:color="000000"/>
              <w:left w:val="single" w:sz="4" w:space="0" w:color="000000"/>
              <w:bottom w:val="nil"/>
              <w:right w:val="nil"/>
            </w:tcBorders>
            <w:shd w:val="clear" w:color="auto" w:fill="auto"/>
            <w:vAlign w:val="center"/>
          </w:tcPr>
          <w:p w14:paraId="3AE580D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18D65C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项目按规定的程序申请设立，得1分；审批文件、材料符合相关要求，得1分；事前已经过必要的可行性研究、专家论证、风险评估、绩效评估、集体决策，得2分。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7885F4F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r>
      <w:tr w:rsidR="003E73DC" w14:paraId="4F8D2BB2"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0E20D28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3A236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绩效目标</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DA28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绩效目标合理性</w:t>
            </w:r>
          </w:p>
        </w:tc>
        <w:tc>
          <w:tcPr>
            <w:tcW w:w="422" w:type="pct"/>
            <w:tcBorders>
              <w:top w:val="single" w:sz="4" w:space="0" w:color="000000"/>
              <w:left w:val="single" w:sz="4" w:space="0" w:color="000000"/>
              <w:bottom w:val="nil"/>
              <w:right w:val="nil"/>
            </w:tcBorders>
            <w:shd w:val="clear" w:color="auto" w:fill="auto"/>
            <w:vAlign w:val="center"/>
          </w:tcPr>
          <w:p w14:paraId="7201DD8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4C9C69D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项目设定有绩效目标，得1分；项目绩效目标与实际工作内容具有相关性，得1分；项目预期产出效益和效果符合正常的业绩水平，得1分；项目绩效目标与预算确定的项目投资额或资金量相匹配，得1分。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2796642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r>
      <w:tr w:rsidR="003E73DC" w14:paraId="34290DE4"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75D22B58"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5CD73"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77FA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绩效指标明确性</w:t>
            </w:r>
          </w:p>
        </w:tc>
        <w:tc>
          <w:tcPr>
            <w:tcW w:w="422" w:type="pct"/>
            <w:tcBorders>
              <w:top w:val="single" w:sz="4" w:space="0" w:color="000000"/>
              <w:left w:val="single" w:sz="4" w:space="0" w:color="000000"/>
              <w:bottom w:val="nil"/>
              <w:right w:val="nil"/>
            </w:tcBorders>
            <w:shd w:val="clear" w:color="auto" w:fill="auto"/>
            <w:vAlign w:val="center"/>
          </w:tcPr>
          <w:p w14:paraId="47282EE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6B9D72C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将项目绩效目标细化分解为具体的绩效指标，得1分；绩效指标通过清晰可衡量的指标予以体现，得1分；绩效指标与项目目标任务数或计划数相对应，得1分。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1249CC2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11F0C2BC"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2606BFF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000000"/>
              <w:left w:val="single" w:sz="4" w:space="0" w:color="000000"/>
              <w:bottom w:val="nil"/>
              <w:right w:val="single" w:sz="4" w:space="0" w:color="000000"/>
            </w:tcBorders>
            <w:shd w:val="clear" w:color="auto" w:fill="auto"/>
            <w:vAlign w:val="center"/>
          </w:tcPr>
          <w:p w14:paraId="6C0036C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资金投入</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4289B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预算编制科学性</w:t>
            </w:r>
          </w:p>
        </w:tc>
        <w:tc>
          <w:tcPr>
            <w:tcW w:w="422" w:type="pct"/>
            <w:vMerge w:val="restart"/>
            <w:tcBorders>
              <w:top w:val="single" w:sz="4" w:space="0" w:color="000000"/>
              <w:left w:val="single" w:sz="4" w:space="0" w:color="000000"/>
              <w:bottom w:val="nil"/>
              <w:right w:val="nil"/>
            </w:tcBorders>
            <w:shd w:val="clear" w:color="auto" w:fill="auto"/>
            <w:vAlign w:val="center"/>
          </w:tcPr>
          <w:p w14:paraId="16AB3E3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 </w:t>
            </w:r>
          </w:p>
        </w:tc>
        <w:tc>
          <w:tcPr>
            <w:tcW w:w="2984" w:type="pct"/>
            <w:vMerge w:val="restart"/>
            <w:tcBorders>
              <w:top w:val="single" w:sz="4" w:space="0" w:color="000000"/>
              <w:left w:val="single" w:sz="4" w:space="0" w:color="000000"/>
              <w:bottom w:val="nil"/>
              <w:right w:val="single" w:sz="4" w:space="0" w:color="000000"/>
            </w:tcBorders>
            <w:shd w:val="clear" w:color="auto" w:fill="auto"/>
            <w:vAlign w:val="center"/>
          </w:tcPr>
          <w:p w14:paraId="427F08B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项目预算编制经过科学论证，得1分；预算内容与项目内容匹配，得1分；预算额度测算依据充分，按照标准编制，得1分；预算确定的项目投资额或资金量与工作任务相匹配，得1分。</w:t>
            </w:r>
          </w:p>
        </w:tc>
        <w:tc>
          <w:tcPr>
            <w:tcW w:w="339" w:type="pct"/>
            <w:vMerge w:val="restart"/>
            <w:tcBorders>
              <w:top w:val="single" w:sz="4" w:space="0" w:color="000000"/>
              <w:left w:val="nil"/>
              <w:bottom w:val="single" w:sz="4" w:space="0" w:color="000000"/>
              <w:right w:val="single" w:sz="4" w:space="0" w:color="000000"/>
            </w:tcBorders>
            <w:shd w:val="clear" w:color="auto" w:fill="auto"/>
            <w:vAlign w:val="center"/>
          </w:tcPr>
          <w:p w14:paraId="1E7F3A6A"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 </w:t>
            </w:r>
          </w:p>
        </w:tc>
      </w:tr>
      <w:tr w:rsidR="003E73DC" w14:paraId="1D63BE80" w14:textId="77777777">
        <w:trPr>
          <w:trHeight w:val="408"/>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5C6B720C"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nil"/>
              <w:right w:val="single" w:sz="4" w:space="0" w:color="000000"/>
            </w:tcBorders>
            <w:shd w:val="clear" w:color="auto" w:fill="auto"/>
            <w:vAlign w:val="center"/>
          </w:tcPr>
          <w:p w14:paraId="210328B4"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D3BE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422" w:type="pct"/>
            <w:vMerge/>
            <w:tcBorders>
              <w:top w:val="single" w:sz="4" w:space="0" w:color="000000"/>
              <w:left w:val="single" w:sz="4" w:space="0" w:color="000000"/>
              <w:bottom w:val="nil"/>
              <w:right w:val="nil"/>
            </w:tcBorders>
            <w:shd w:val="clear" w:color="auto" w:fill="auto"/>
            <w:vAlign w:val="center"/>
          </w:tcPr>
          <w:p w14:paraId="75302E29"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2984" w:type="pct"/>
            <w:vMerge/>
            <w:tcBorders>
              <w:top w:val="single" w:sz="4" w:space="0" w:color="000000"/>
              <w:left w:val="single" w:sz="4" w:space="0" w:color="000000"/>
              <w:bottom w:val="nil"/>
              <w:right w:val="single" w:sz="4" w:space="0" w:color="000000"/>
            </w:tcBorders>
            <w:shd w:val="clear" w:color="auto" w:fill="auto"/>
            <w:vAlign w:val="center"/>
          </w:tcPr>
          <w:p w14:paraId="5467D6E6"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39" w:type="pct"/>
            <w:vMerge/>
            <w:tcBorders>
              <w:top w:val="single" w:sz="4" w:space="0" w:color="000000"/>
              <w:left w:val="nil"/>
              <w:bottom w:val="single" w:sz="4" w:space="0" w:color="000000"/>
              <w:right w:val="single" w:sz="4" w:space="0" w:color="000000"/>
            </w:tcBorders>
            <w:shd w:val="clear" w:color="auto" w:fill="auto"/>
            <w:vAlign w:val="center"/>
          </w:tcPr>
          <w:p w14:paraId="2EAC2713" w14:textId="77777777" w:rsidR="003E73DC" w:rsidRDefault="003E73DC">
            <w:pPr>
              <w:spacing w:line="240" w:lineRule="atLeast"/>
              <w:ind w:firstLineChars="0" w:firstLine="0"/>
              <w:jc w:val="center"/>
              <w:rPr>
                <w:rFonts w:ascii="仿宋" w:eastAsia="仿宋" w:hAnsi="仿宋" w:cs="仿宋"/>
                <w:color w:val="000000"/>
                <w:sz w:val="18"/>
                <w:szCs w:val="18"/>
              </w:rPr>
            </w:pPr>
          </w:p>
        </w:tc>
      </w:tr>
      <w:tr w:rsidR="003E73DC" w14:paraId="1D06530F" w14:textId="77777777">
        <w:trPr>
          <w:trHeight w:val="687"/>
        </w:trPr>
        <w:tc>
          <w:tcPr>
            <w:tcW w:w="341" w:type="pct"/>
            <w:vMerge/>
            <w:tcBorders>
              <w:top w:val="single" w:sz="4" w:space="0" w:color="000000"/>
              <w:left w:val="single" w:sz="4" w:space="0" w:color="000000"/>
              <w:bottom w:val="single" w:sz="4" w:space="0" w:color="auto"/>
              <w:right w:val="single" w:sz="4" w:space="0" w:color="000000"/>
            </w:tcBorders>
            <w:shd w:val="clear" w:color="auto" w:fill="auto"/>
            <w:vAlign w:val="center"/>
          </w:tcPr>
          <w:p w14:paraId="168FE9A1"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nil"/>
              <w:right w:val="single" w:sz="4" w:space="0" w:color="000000"/>
            </w:tcBorders>
            <w:shd w:val="clear" w:color="auto" w:fill="auto"/>
            <w:vAlign w:val="center"/>
          </w:tcPr>
          <w:p w14:paraId="2A0270A6"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85BC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资金分配合理性</w:t>
            </w:r>
          </w:p>
        </w:tc>
        <w:tc>
          <w:tcPr>
            <w:tcW w:w="422" w:type="pct"/>
            <w:tcBorders>
              <w:top w:val="single" w:sz="4" w:space="0" w:color="000000"/>
              <w:left w:val="single" w:sz="4" w:space="0" w:color="000000"/>
              <w:bottom w:val="nil"/>
              <w:right w:val="nil"/>
            </w:tcBorders>
            <w:shd w:val="clear" w:color="auto" w:fill="auto"/>
            <w:vAlign w:val="center"/>
          </w:tcPr>
          <w:p w14:paraId="67D4F7F1"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7038C9EA"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项目资金分配依据充分，得1分；资金分配额度合理，与项目实际相适应得1分。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4DA70F6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31948DC8" w14:textId="77777777">
        <w:trPr>
          <w:trHeight w:val="705"/>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D373A"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过程指标</w:t>
            </w:r>
          </w:p>
          <w:p w14:paraId="0E2C583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(15分)</w:t>
            </w:r>
          </w:p>
        </w:tc>
        <w:tc>
          <w:tcPr>
            <w:tcW w:w="354" w:type="pct"/>
            <w:vMerge w:val="restart"/>
            <w:tcBorders>
              <w:top w:val="single" w:sz="4" w:space="0" w:color="000000"/>
              <w:left w:val="single" w:sz="4" w:space="0" w:color="auto"/>
              <w:bottom w:val="nil"/>
              <w:right w:val="single" w:sz="4" w:space="0" w:color="000000"/>
            </w:tcBorders>
            <w:shd w:val="clear" w:color="auto" w:fill="auto"/>
            <w:vAlign w:val="center"/>
          </w:tcPr>
          <w:p w14:paraId="56409C3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资金管理</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5648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w:t>
            </w:r>
          </w:p>
        </w:tc>
        <w:tc>
          <w:tcPr>
            <w:tcW w:w="422" w:type="pct"/>
            <w:tcBorders>
              <w:top w:val="single" w:sz="4" w:space="0" w:color="000000"/>
              <w:left w:val="single" w:sz="4" w:space="0" w:color="000000"/>
              <w:bottom w:val="nil"/>
              <w:right w:val="nil"/>
            </w:tcBorders>
            <w:shd w:val="clear" w:color="auto" w:fill="auto"/>
            <w:vAlign w:val="center"/>
          </w:tcPr>
          <w:p w14:paraId="54DDC57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5AED31D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资金到位率=（实际到位资金/预算资金）*100%，未达到100%按资金实际到位率*指标权重得分。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589D9CC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25258B24" w14:textId="77777777">
        <w:trPr>
          <w:trHeight w:val="615"/>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10056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auto"/>
              <w:bottom w:val="nil"/>
              <w:right w:val="single" w:sz="4" w:space="0" w:color="000000"/>
            </w:tcBorders>
            <w:shd w:val="clear" w:color="auto" w:fill="auto"/>
            <w:vAlign w:val="center"/>
          </w:tcPr>
          <w:p w14:paraId="20AD0349"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3D57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w:t>
            </w:r>
          </w:p>
        </w:tc>
        <w:tc>
          <w:tcPr>
            <w:tcW w:w="422" w:type="pct"/>
            <w:tcBorders>
              <w:top w:val="single" w:sz="4" w:space="0" w:color="000000"/>
              <w:left w:val="single" w:sz="4" w:space="0" w:color="000000"/>
              <w:bottom w:val="nil"/>
              <w:right w:val="nil"/>
            </w:tcBorders>
            <w:shd w:val="clear" w:color="auto" w:fill="auto"/>
            <w:vAlign w:val="center"/>
          </w:tcPr>
          <w:p w14:paraId="19004CA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3B89A57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预算执行率=（实际支出资金/实际到位资金）*100%，未达到100%按实际预算执行率*指标权重得分。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2A9EB22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2DEC1813" w14:textId="77777777">
        <w:trPr>
          <w:trHeight w:val="840"/>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57990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auto"/>
              <w:bottom w:val="nil"/>
              <w:right w:val="single" w:sz="4" w:space="0" w:color="000000"/>
            </w:tcBorders>
            <w:shd w:val="clear" w:color="auto" w:fill="auto"/>
            <w:vAlign w:val="center"/>
          </w:tcPr>
          <w:p w14:paraId="379771AC"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0A72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资金使用合</w:t>
            </w:r>
            <w:proofErr w:type="gramStart"/>
            <w:r>
              <w:rPr>
                <w:rFonts w:ascii="仿宋" w:eastAsia="仿宋" w:hAnsi="仿宋" w:cs="仿宋" w:hint="eastAsia"/>
                <w:color w:val="000000"/>
                <w:kern w:val="0"/>
                <w:sz w:val="18"/>
                <w:szCs w:val="18"/>
                <w:lang w:bidi="ar"/>
              </w:rPr>
              <w:t>规</w:t>
            </w:r>
            <w:proofErr w:type="gramEnd"/>
            <w:r>
              <w:rPr>
                <w:rFonts w:ascii="仿宋" w:eastAsia="仿宋" w:hAnsi="仿宋" w:cs="仿宋" w:hint="eastAsia"/>
                <w:color w:val="000000"/>
                <w:kern w:val="0"/>
                <w:sz w:val="18"/>
                <w:szCs w:val="18"/>
                <w:lang w:bidi="ar"/>
              </w:rPr>
              <w:t>性</w:t>
            </w:r>
          </w:p>
        </w:tc>
        <w:tc>
          <w:tcPr>
            <w:tcW w:w="422" w:type="pct"/>
            <w:tcBorders>
              <w:top w:val="single" w:sz="4" w:space="0" w:color="000000"/>
              <w:left w:val="single" w:sz="4" w:space="0" w:color="000000"/>
              <w:bottom w:val="single" w:sz="4" w:space="0" w:color="000000"/>
              <w:right w:val="nil"/>
            </w:tcBorders>
            <w:shd w:val="clear" w:color="auto" w:fill="auto"/>
            <w:vAlign w:val="center"/>
          </w:tcPr>
          <w:p w14:paraId="764A656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5 </w:t>
            </w:r>
          </w:p>
        </w:tc>
        <w:tc>
          <w:tcPr>
            <w:tcW w:w="2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1FF0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使用符合国家财经法规和财务管理制度以及有关专项资金管理办法的规定，得1分；资金拨付有完整的审批程序和手续，得1分；资金使用符合项目预算批复或合同规定的用途，得1分；不存在截留、挤占、挪用、虚列支出等情况，得2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7640C5A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5 </w:t>
            </w:r>
          </w:p>
        </w:tc>
      </w:tr>
      <w:tr w:rsidR="003E73DC" w14:paraId="1C8FB371" w14:textId="77777777">
        <w:trPr>
          <w:trHeight w:val="840"/>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645A8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5F2E8A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组织实施</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349A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管理制度健全性</w:t>
            </w:r>
          </w:p>
        </w:tc>
        <w:tc>
          <w:tcPr>
            <w:tcW w:w="422" w:type="pct"/>
            <w:tcBorders>
              <w:top w:val="single" w:sz="4" w:space="0" w:color="000000"/>
              <w:left w:val="single" w:sz="4" w:space="0" w:color="000000"/>
              <w:bottom w:val="nil"/>
              <w:right w:val="nil"/>
            </w:tcBorders>
            <w:shd w:val="clear" w:color="auto" w:fill="auto"/>
            <w:vAlign w:val="center"/>
          </w:tcPr>
          <w:p w14:paraId="0EBE158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2D4C2E1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制定或具有相应的财务和业务管理制度，得1分；财务和业务管理制度合法、合</w:t>
            </w:r>
            <w:proofErr w:type="gramStart"/>
            <w:r>
              <w:rPr>
                <w:rFonts w:ascii="仿宋" w:eastAsia="仿宋" w:hAnsi="仿宋" w:cs="仿宋" w:hint="eastAsia"/>
                <w:color w:val="000000"/>
                <w:kern w:val="0"/>
                <w:sz w:val="18"/>
                <w:szCs w:val="18"/>
                <w:lang w:bidi="ar"/>
              </w:rPr>
              <w:t>规</w:t>
            </w:r>
            <w:proofErr w:type="gramEnd"/>
            <w:r>
              <w:rPr>
                <w:rFonts w:ascii="仿宋" w:eastAsia="仿宋" w:hAnsi="仿宋" w:cs="仿宋" w:hint="eastAsia"/>
                <w:color w:val="000000"/>
                <w:kern w:val="0"/>
                <w:sz w:val="18"/>
                <w:szCs w:val="18"/>
                <w:lang w:bidi="ar"/>
              </w:rPr>
              <w:t>、完整得1分。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5E91DB1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1B9CA6FE" w14:textId="77777777">
        <w:trPr>
          <w:trHeight w:val="840"/>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E3A99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auto"/>
              <w:bottom w:val="single" w:sz="4" w:space="0" w:color="auto"/>
              <w:right w:val="single" w:sz="4" w:space="0" w:color="000000"/>
            </w:tcBorders>
            <w:shd w:val="clear" w:color="auto" w:fill="auto"/>
            <w:vAlign w:val="center"/>
          </w:tcPr>
          <w:p w14:paraId="6BEE5195"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CBCC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制度执行有效性</w:t>
            </w:r>
          </w:p>
        </w:tc>
        <w:tc>
          <w:tcPr>
            <w:tcW w:w="422" w:type="pct"/>
            <w:tcBorders>
              <w:top w:val="single" w:sz="4" w:space="0" w:color="000000"/>
              <w:left w:val="single" w:sz="4" w:space="0" w:color="000000"/>
              <w:bottom w:val="single" w:sz="4" w:space="0" w:color="000000"/>
              <w:right w:val="nil"/>
            </w:tcBorders>
            <w:shd w:val="clear" w:color="auto" w:fill="auto"/>
            <w:vAlign w:val="center"/>
          </w:tcPr>
          <w:p w14:paraId="53A2539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4 </w:t>
            </w:r>
          </w:p>
        </w:tc>
        <w:tc>
          <w:tcPr>
            <w:tcW w:w="2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D9E0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遵守相关法律法规和相关管理规定，得1分；项目调整及支出调整手续完备，得1分；项目合同书、验收报告、技术鉴定等资料齐全并及时归档，得1分；项目实施的人员条件、场地设备、信息支撑等落实到位，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295421A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4 </w:t>
            </w:r>
          </w:p>
        </w:tc>
      </w:tr>
      <w:tr w:rsidR="003E73DC" w14:paraId="39BBD572" w14:textId="77777777">
        <w:trPr>
          <w:trHeight w:val="840"/>
        </w:trPr>
        <w:tc>
          <w:tcPr>
            <w:tcW w:w="341" w:type="pct"/>
            <w:vMerge w:val="restart"/>
            <w:tcBorders>
              <w:top w:val="single" w:sz="4" w:space="0" w:color="auto"/>
              <w:left w:val="single" w:sz="4" w:space="0" w:color="000000"/>
              <w:bottom w:val="single" w:sz="4" w:space="0" w:color="auto"/>
              <w:right w:val="single" w:sz="4" w:space="0" w:color="auto"/>
            </w:tcBorders>
            <w:shd w:val="clear" w:color="auto" w:fill="auto"/>
            <w:vAlign w:val="center"/>
          </w:tcPr>
          <w:p w14:paraId="63BF1A2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产出指标（35分）</w:t>
            </w:r>
          </w:p>
        </w:tc>
        <w:tc>
          <w:tcPr>
            <w:tcW w:w="354" w:type="pct"/>
            <w:tcBorders>
              <w:top w:val="single" w:sz="4" w:space="0" w:color="auto"/>
              <w:left w:val="single" w:sz="4" w:space="0" w:color="auto"/>
              <w:right w:val="single" w:sz="4" w:space="0" w:color="auto"/>
            </w:tcBorders>
            <w:shd w:val="clear" w:color="auto" w:fill="auto"/>
            <w:vAlign w:val="center"/>
          </w:tcPr>
          <w:p w14:paraId="355AB5F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产出数量</w:t>
            </w:r>
          </w:p>
        </w:tc>
        <w:tc>
          <w:tcPr>
            <w:tcW w:w="558" w:type="pct"/>
            <w:tcBorders>
              <w:top w:val="single" w:sz="4" w:space="0" w:color="000000"/>
              <w:left w:val="single" w:sz="4" w:space="0" w:color="auto"/>
              <w:bottom w:val="single" w:sz="4" w:space="0" w:color="000000"/>
              <w:right w:val="single" w:sz="4" w:space="0" w:color="000000"/>
            </w:tcBorders>
            <w:shd w:val="clear" w:color="auto" w:fill="auto"/>
            <w:vAlign w:val="center"/>
          </w:tcPr>
          <w:p w14:paraId="7402906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建设江西地方形象馆</w:t>
            </w:r>
          </w:p>
        </w:tc>
        <w:tc>
          <w:tcPr>
            <w:tcW w:w="422" w:type="pct"/>
            <w:tcBorders>
              <w:top w:val="single" w:sz="4" w:space="0" w:color="000000"/>
              <w:left w:val="single" w:sz="4" w:space="0" w:color="000000"/>
              <w:bottom w:val="nil"/>
              <w:right w:val="nil"/>
            </w:tcBorders>
            <w:shd w:val="clear" w:color="auto" w:fill="auto"/>
            <w:vAlign w:val="center"/>
          </w:tcPr>
          <w:p w14:paraId="2169AB1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6DD445C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第十二届中国卫星导航年会成功开展，建设江西地方形象馆，符合得10分，否则按比例得分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0385A94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4023B799"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75F84948"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auto"/>
              <w:left w:val="single" w:sz="4" w:space="0" w:color="000000"/>
              <w:right w:val="single" w:sz="4" w:space="0" w:color="000000"/>
            </w:tcBorders>
            <w:shd w:val="clear" w:color="auto" w:fill="auto"/>
            <w:vAlign w:val="center"/>
          </w:tcPr>
          <w:p w14:paraId="51204B5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产出质量</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6152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招标合</w:t>
            </w:r>
            <w:proofErr w:type="gramStart"/>
            <w:r>
              <w:rPr>
                <w:rFonts w:ascii="仿宋" w:eastAsia="仿宋" w:hAnsi="仿宋" w:cs="仿宋" w:hint="eastAsia"/>
                <w:color w:val="000000"/>
                <w:sz w:val="18"/>
                <w:szCs w:val="18"/>
              </w:rPr>
              <w:t>规</w:t>
            </w:r>
            <w:proofErr w:type="gramEnd"/>
            <w:r>
              <w:rPr>
                <w:rFonts w:ascii="仿宋" w:eastAsia="仿宋" w:hAnsi="仿宋" w:cs="仿宋" w:hint="eastAsia"/>
                <w:color w:val="000000"/>
                <w:sz w:val="18"/>
                <w:szCs w:val="18"/>
              </w:rPr>
              <w:t>性</w:t>
            </w:r>
          </w:p>
        </w:tc>
        <w:tc>
          <w:tcPr>
            <w:tcW w:w="422" w:type="pct"/>
            <w:tcBorders>
              <w:top w:val="single" w:sz="4" w:space="0" w:color="000000"/>
              <w:left w:val="single" w:sz="4" w:space="0" w:color="000000"/>
              <w:bottom w:val="nil"/>
              <w:right w:val="nil"/>
            </w:tcBorders>
            <w:shd w:val="clear" w:color="auto" w:fill="auto"/>
            <w:vAlign w:val="center"/>
          </w:tcPr>
          <w:p w14:paraId="219651E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ED0275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形象馆建设项目招标符合相关规定，验收合格，符合相关规定得10分，否则不得分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3281FF1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3F440591"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354742CC"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000000"/>
              <w:left w:val="single" w:sz="4" w:space="0" w:color="000000"/>
              <w:bottom w:val="nil"/>
              <w:right w:val="single" w:sz="4" w:space="0" w:color="000000"/>
            </w:tcBorders>
            <w:shd w:val="clear" w:color="auto" w:fill="auto"/>
            <w:vAlign w:val="center"/>
          </w:tcPr>
          <w:p w14:paraId="09DA5A4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产出时效</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5812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项目及时性</w:t>
            </w:r>
          </w:p>
        </w:tc>
        <w:tc>
          <w:tcPr>
            <w:tcW w:w="422" w:type="pct"/>
            <w:tcBorders>
              <w:top w:val="single" w:sz="4" w:space="0" w:color="000000"/>
              <w:left w:val="single" w:sz="4" w:space="0" w:color="000000"/>
              <w:bottom w:val="nil"/>
              <w:right w:val="nil"/>
            </w:tcBorders>
            <w:shd w:val="clear" w:color="auto" w:fill="auto"/>
            <w:noWrap/>
            <w:vAlign w:val="center"/>
          </w:tcPr>
          <w:p w14:paraId="6BF778B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0FDF31B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项目在2021年度导航年会期间圆满完成，完成得5分，未完成不得分</w:t>
            </w:r>
          </w:p>
        </w:tc>
        <w:tc>
          <w:tcPr>
            <w:tcW w:w="339" w:type="pct"/>
            <w:tcBorders>
              <w:top w:val="single" w:sz="4" w:space="0" w:color="000000"/>
              <w:left w:val="nil"/>
              <w:bottom w:val="nil"/>
              <w:right w:val="single" w:sz="4" w:space="0" w:color="000000"/>
            </w:tcBorders>
            <w:shd w:val="clear" w:color="auto" w:fill="auto"/>
            <w:vAlign w:val="center"/>
          </w:tcPr>
          <w:p w14:paraId="0083118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r>
      <w:tr w:rsidR="003E73DC" w14:paraId="68F7F66C"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2F9654E2"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332C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产出成本</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0ADF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成本节约率</w:t>
            </w:r>
          </w:p>
        </w:tc>
        <w:tc>
          <w:tcPr>
            <w:tcW w:w="422" w:type="pct"/>
            <w:tcBorders>
              <w:top w:val="single" w:sz="4" w:space="0" w:color="000000"/>
              <w:left w:val="single" w:sz="4" w:space="0" w:color="000000"/>
              <w:bottom w:val="nil"/>
              <w:right w:val="nil"/>
            </w:tcBorders>
            <w:shd w:val="clear" w:color="auto" w:fill="auto"/>
            <w:vAlign w:val="center"/>
          </w:tcPr>
          <w:p w14:paraId="2B20137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089676A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节约率=[（计划成本-实际成本）/计划成本]×100%。实际成本：项目实施单位如期、保质、保量完成既定工作目标实际所耗费的支出。计划成本：项目实施单位为完成工作目标计划安排的支出，一般以项目预算为参考。项目成本节约率控制在±5%范围内得满分，每超出1%扣5%权重分</w:t>
            </w:r>
          </w:p>
        </w:tc>
        <w:tc>
          <w:tcPr>
            <w:tcW w:w="339" w:type="pct"/>
            <w:tcBorders>
              <w:top w:val="single" w:sz="4" w:space="0" w:color="000000"/>
              <w:left w:val="single" w:sz="4" w:space="0" w:color="000000"/>
              <w:bottom w:val="nil"/>
              <w:right w:val="single" w:sz="4" w:space="0" w:color="000000"/>
            </w:tcBorders>
            <w:shd w:val="clear" w:color="auto" w:fill="auto"/>
            <w:vAlign w:val="center"/>
          </w:tcPr>
          <w:p w14:paraId="0F52724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598951A7" w14:textId="77777777">
        <w:trPr>
          <w:trHeight w:val="840"/>
        </w:trPr>
        <w:tc>
          <w:tcPr>
            <w:tcW w:w="341"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0BB57025"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效益指标</w:t>
            </w:r>
          </w:p>
          <w:p w14:paraId="4A9BE5E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（25分）</w:t>
            </w:r>
          </w:p>
        </w:tc>
        <w:tc>
          <w:tcPr>
            <w:tcW w:w="354" w:type="pct"/>
            <w:tcBorders>
              <w:top w:val="single" w:sz="4" w:space="0" w:color="000000"/>
              <w:left w:val="single" w:sz="4" w:space="0" w:color="000000"/>
              <w:bottom w:val="single" w:sz="4" w:space="0" w:color="auto"/>
              <w:right w:val="single" w:sz="4" w:space="0" w:color="000000"/>
            </w:tcBorders>
            <w:shd w:val="clear" w:color="auto" w:fill="auto"/>
            <w:vAlign w:val="center"/>
          </w:tcPr>
          <w:p w14:paraId="59D08E9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经济效益</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9FF8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p>
        </w:tc>
        <w:tc>
          <w:tcPr>
            <w:tcW w:w="422" w:type="pct"/>
            <w:tcBorders>
              <w:top w:val="single" w:sz="4" w:space="0" w:color="000000"/>
              <w:left w:val="single" w:sz="4" w:space="0" w:color="000000"/>
              <w:bottom w:val="nil"/>
              <w:right w:val="nil"/>
            </w:tcBorders>
            <w:shd w:val="clear" w:color="auto" w:fill="auto"/>
            <w:vAlign w:val="center"/>
          </w:tcPr>
          <w:p w14:paraId="01CBE5D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063DF547"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39" w:type="pct"/>
            <w:tcBorders>
              <w:top w:val="single" w:sz="4" w:space="0" w:color="000000"/>
              <w:left w:val="nil"/>
              <w:bottom w:val="nil"/>
              <w:right w:val="single" w:sz="4" w:space="0" w:color="000000"/>
            </w:tcBorders>
            <w:shd w:val="clear" w:color="auto" w:fill="auto"/>
            <w:vAlign w:val="center"/>
          </w:tcPr>
          <w:p w14:paraId="11F75BCC" w14:textId="77777777" w:rsidR="003E73DC" w:rsidRDefault="003E73DC">
            <w:pPr>
              <w:spacing w:line="240" w:lineRule="atLeast"/>
              <w:ind w:firstLineChars="0" w:firstLine="0"/>
              <w:jc w:val="center"/>
              <w:rPr>
                <w:rFonts w:ascii="仿宋" w:eastAsia="仿宋" w:hAnsi="仿宋" w:cs="仿宋"/>
                <w:color w:val="000000"/>
                <w:sz w:val="18"/>
                <w:szCs w:val="18"/>
              </w:rPr>
            </w:pPr>
          </w:p>
        </w:tc>
      </w:tr>
      <w:tr w:rsidR="003E73DC" w14:paraId="26B890A9" w14:textId="77777777">
        <w:trPr>
          <w:trHeight w:val="720"/>
        </w:trPr>
        <w:tc>
          <w:tcPr>
            <w:tcW w:w="341" w:type="pct"/>
            <w:vMerge/>
            <w:tcBorders>
              <w:top w:val="single" w:sz="4" w:space="0" w:color="auto"/>
              <w:left w:val="single" w:sz="4" w:space="0" w:color="000000"/>
              <w:bottom w:val="single" w:sz="4" w:space="0" w:color="auto"/>
              <w:right w:val="single" w:sz="4" w:space="0" w:color="auto"/>
            </w:tcBorders>
            <w:shd w:val="clear" w:color="auto" w:fill="auto"/>
            <w:vAlign w:val="center"/>
          </w:tcPr>
          <w:p w14:paraId="040E593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auto"/>
              <w:left w:val="single" w:sz="4" w:space="0" w:color="auto"/>
              <w:right w:val="single" w:sz="4" w:space="0" w:color="auto"/>
            </w:tcBorders>
            <w:shd w:val="clear" w:color="auto" w:fill="auto"/>
            <w:vAlign w:val="center"/>
          </w:tcPr>
          <w:p w14:paraId="3582219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社会效益</w:t>
            </w:r>
          </w:p>
        </w:tc>
        <w:tc>
          <w:tcPr>
            <w:tcW w:w="558" w:type="pct"/>
            <w:tcBorders>
              <w:top w:val="single" w:sz="4" w:space="0" w:color="000000"/>
              <w:left w:val="single" w:sz="4" w:space="0" w:color="auto"/>
              <w:bottom w:val="single" w:sz="4" w:space="0" w:color="000000"/>
              <w:right w:val="single" w:sz="4" w:space="0" w:color="000000"/>
            </w:tcBorders>
            <w:shd w:val="clear" w:color="auto" w:fill="auto"/>
            <w:vAlign w:val="center"/>
          </w:tcPr>
          <w:p w14:paraId="5C50ADE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提升江西省地方形象</w:t>
            </w:r>
          </w:p>
        </w:tc>
        <w:tc>
          <w:tcPr>
            <w:tcW w:w="422" w:type="pct"/>
            <w:tcBorders>
              <w:top w:val="single" w:sz="4" w:space="0" w:color="000000"/>
              <w:left w:val="single" w:sz="4" w:space="0" w:color="000000"/>
              <w:bottom w:val="nil"/>
              <w:right w:val="nil"/>
            </w:tcBorders>
            <w:shd w:val="clear" w:color="auto" w:fill="auto"/>
            <w:vAlign w:val="center"/>
          </w:tcPr>
          <w:p w14:paraId="1E2C21E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E1E64F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通过建设地方形象馆，推广宣传江西省地方特色文化，提升江西省地方形象。符合得10分，不符合酌情扣分</w:t>
            </w:r>
          </w:p>
        </w:tc>
        <w:tc>
          <w:tcPr>
            <w:tcW w:w="339" w:type="pct"/>
            <w:tcBorders>
              <w:top w:val="single" w:sz="4" w:space="0" w:color="000000"/>
              <w:left w:val="nil"/>
              <w:bottom w:val="nil"/>
              <w:right w:val="single" w:sz="4" w:space="0" w:color="000000"/>
            </w:tcBorders>
            <w:shd w:val="clear" w:color="auto" w:fill="auto"/>
            <w:vAlign w:val="center"/>
          </w:tcPr>
          <w:p w14:paraId="0F14A98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r>
      <w:tr w:rsidR="003E73DC" w14:paraId="3A4C4392" w14:textId="77777777">
        <w:trPr>
          <w:trHeight w:val="720"/>
        </w:trPr>
        <w:tc>
          <w:tcPr>
            <w:tcW w:w="341" w:type="pct"/>
            <w:vMerge/>
            <w:tcBorders>
              <w:top w:val="single" w:sz="4" w:space="0" w:color="auto"/>
              <w:left w:val="single" w:sz="4" w:space="0" w:color="000000"/>
              <w:bottom w:val="single" w:sz="4" w:space="0" w:color="auto"/>
              <w:right w:val="single" w:sz="4" w:space="0" w:color="auto"/>
            </w:tcBorders>
            <w:shd w:val="clear" w:color="auto" w:fill="auto"/>
            <w:vAlign w:val="center"/>
          </w:tcPr>
          <w:p w14:paraId="11927D76"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left w:val="single" w:sz="4" w:space="0" w:color="auto"/>
              <w:bottom w:val="single" w:sz="4" w:space="0" w:color="auto"/>
              <w:right w:val="single" w:sz="4" w:space="0" w:color="auto"/>
            </w:tcBorders>
            <w:shd w:val="clear" w:color="auto" w:fill="auto"/>
            <w:vAlign w:val="center"/>
          </w:tcPr>
          <w:p w14:paraId="3BE3D815" w14:textId="77777777" w:rsidR="003E73DC" w:rsidRDefault="003E73DC">
            <w:pPr>
              <w:widowControl/>
              <w:spacing w:line="240" w:lineRule="atLeast"/>
              <w:ind w:firstLineChars="0" w:firstLine="0"/>
              <w:jc w:val="center"/>
              <w:textAlignment w:val="center"/>
              <w:rPr>
                <w:rFonts w:ascii="仿宋" w:eastAsia="仿宋" w:hAnsi="仿宋" w:cs="仿宋"/>
                <w:color w:val="000000"/>
                <w:kern w:val="0"/>
                <w:sz w:val="18"/>
                <w:szCs w:val="18"/>
                <w:lang w:bidi="ar"/>
              </w:rPr>
            </w:pPr>
          </w:p>
        </w:tc>
        <w:tc>
          <w:tcPr>
            <w:tcW w:w="558" w:type="pct"/>
            <w:tcBorders>
              <w:top w:val="single" w:sz="4" w:space="0" w:color="000000"/>
              <w:left w:val="single" w:sz="4" w:space="0" w:color="auto"/>
              <w:bottom w:val="single" w:sz="4" w:space="0" w:color="000000"/>
              <w:right w:val="single" w:sz="4" w:space="0" w:color="000000"/>
            </w:tcBorders>
            <w:shd w:val="clear" w:color="auto" w:fill="auto"/>
            <w:vAlign w:val="center"/>
          </w:tcPr>
          <w:p w14:paraId="2EE56AA8"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推动系统建设与产业发展</w:t>
            </w:r>
          </w:p>
        </w:tc>
        <w:tc>
          <w:tcPr>
            <w:tcW w:w="422" w:type="pct"/>
            <w:tcBorders>
              <w:top w:val="single" w:sz="4" w:space="0" w:color="000000"/>
              <w:left w:val="single" w:sz="4" w:space="0" w:color="000000"/>
              <w:bottom w:val="nil"/>
              <w:right w:val="nil"/>
            </w:tcBorders>
            <w:shd w:val="clear" w:color="auto" w:fill="auto"/>
            <w:vAlign w:val="center"/>
          </w:tcPr>
          <w:p w14:paraId="32397E6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62B236CA"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推动我国卫星导航系统建设与产业发展，符合得5分，不符合酌情扣分。</w:t>
            </w:r>
          </w:p>
        </w:tc>
        <w:tc>
          <w:tcPr>
            <w:tcW w:w="339" w:type="pct"/>
            <w:tcBorders>
              <w:top w:val="single" w:sz="4" w:space="0" w:color="000000"/>
              <w:left w:val="nil"/>
              <w:bottom w:val="nil"/>
              <w:right w:val="single" w:sz="4" w:space="0" w:color="000000"/>
            </w:tcBorders>
            <w:shd w:val="clear" w:color="auto" w:fill="auto"/>
            <w:vAlign w:val="center"/>
          </w:tcPr>
          <w:p w14:paraId="69ECBE4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r>
      <w:tr w:rsidR="003E73DC" w14:paraId="507B6E71" w14:textId="77777777">
        <w:trPr>
          <w:trHeight w:val="72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1AC8FE1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auto"/>
              <w:left w:val="single" w:sz="4" w:space="0" w:color="000000"/>
              <w:bottom w:val="nil"/>
              <w:right w:val="single" w:sz="4" w:space="0" w:color="000000"/>
            </w:tcBorders>
            <w:shd w:val="clear" w:color="auto" w:fill="auto"/>
            <w:vAlign w:val="center"/>
          </w:tcPr>
          <w:p w14:paraId="2BC8D88E"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生态效益</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88066"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会场垃圾回收机制完善</w:t>
            </w:r>
          </w:p>
        </w:tc>
        <w:tc>
          <w:tcPr>
            <w:tcW w:w="422" w:type="pct"/>
            <w:tcBorders>
              <w:top w:val="single" w:sz="4" w:space="0" w:color="000000"/>
              <w:left w:val="single" w:sz="4" w:space="0" w:color="000000"/>
              <w:bottom w:val="nil"/>
              <w:right w:val="nil"/>
            </w:tcBorders>
            <w:shd w:val="clear" w:color="auto" w:fill="auto"/>
            <w:vAlign w:val="center"/>
          </w:tcPr>
          <w:p w14:paraId="53D2A77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536F54F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大会建立完善得会场垃圾回收机制，妥善处理大会开展期间的垃圾问题，符合得10分，不符合酌情扣分。</w:t>
            </w:r>
          </w:p>
        </w:tc>
        <w:tc>
          <w:tcPr>
            <w:tcW w:w="339" w:type="pct"/>
            <w:tcBorders>
              <w:top w:val="single" w:sz="4" w:space="0" w:color="000000"/>
              <w:left w:val="nil"/>
              <w:bottom w:val="nil"/>
              <w:right w:val="single" w:sz="4" w:space="0" w:color="000000"/>
            </w:tcBorders>
            <w:shd w:val="clear" w:color="auto" w:fill="auto"/>
            <w:vAlign w:val="center"/>
          </w:tcPr>
          <w:p w14:paraId="711BBF01"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r>
      <w:tr w:rsidR="003E73DC" w14:paraId="6BF06F4A"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2A48C03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000000"/>
              <w:left w:val="single" w:sz="4" w:space="0" w:color="000000"/>
              <w:right w:val="single" w:sz="4" w:space="0" w:color="000000"/>
            </w:tcBorders>
            <w:shd w:val="clear" w:color="auto" w:fill="auto"/>
            <w:vAlign w:val="center"/>
          </w:tcPr>
          <w:p w14:paraId="4403C02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可持续影</w:t>
            </w:r>
            <w:r>
              <w:rPr>
                <w:rFonts w:ascii="仿宋" w:eastAsia="仿宋" w:hAnsi="仿宋" w:cs="仿宋" w:hint="eastAsia"/>
                <w:color w:val="000000"/>
                <w:kern w:val="0"/>
                <w:sz w:val="18"/>
                <w:szCs w:val="18"/>
                <w:lang w:bidi="ar"/>
              </w:rPr>
              <w:lastRenderedPageBreak/>
              <w:t>响</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033E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lastRenderedPageBreak/>
              <w:t>-</w:t>
            </w:r>
          </w:p>
        </w:tc>
        <w:tc>
          <w:tcPr>
            <w:tcW w:w="422" w:type="pct"/>
            <w:tcBorders>
              <w:top w:val="single" w:sz="4" w:space="0" w:color="000000"/>
              <w:left w:val="single" w:sz="4" w:space="0" w:color="000000"/>
              <w:bottom w:val="nil"/>
              <w:right w:val="nil"/>
            </w:tcBorders>
            <w:shd w:val="clear" w:color="auto" w:fill="auto"/>
            <w:vAlign w:val="center"/>
          </w:tcPr>
          <w:p w14:paraId="4004B9B4" w14:textId="77777777" w:rsidR="003E73DC" w:rsidRDefault="003E73DC">
            <w:pPr>
              <w:widowControl/>
              <w:spacing w:line="240" w:lineRule="atLeast"/>
              <w:ind w:firstLineChars="0" w:firstLine="0"/>
              <w:jc w:val="center"/>
              <w:textAlignment w:val="center"/>
              <w:rPr>
                <w:rFonts w:ascii="仿宋" w:eastAsia="仿宋" w:hAnsi="仿宋" w:cs="仿宋"/>
                <w:color w:val="000000"/>
                <w:sz w:val="18"/>
                <w:szCs w:val="18"/>
              </w:rPr>
            </w:pP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055077C" w14:textId="77777777" w:rsidR="003E73DC" w:rsidRDefault="003E73DC">
            <w:pPr>
              <w:widowControl/>
              <w:spacing w:line="240" w:lineRule="atLeast"/>
              <w:ind w:firstLineChars="0" w:firstLine="0"/>
              <w:jc w:val="center"/>
              <w:textAlignment w:val="center"/>
              <w:rPr>
                <w:rFonts w:ascii="仿宋" w:eastAsia="仿宋" w:hAnsi="仿宋" w:cs="仿宋"/>
                <w:color w:val="000000"/>
                <w:sz w:val="18"/>
                <w:szCs w:val="18"/>
              </w:rPr>
            </w:pPr>
          </w:p>
        </w:tc>
        <w:tc>
          <w:tcPr>
            <w:tcW w:w="339" w:type="pct"/>
            <w:tcBorders>
              <w:top w:val="single" w:sz="4" w:space="0" w:color="000000"/>
              <w:left w:val="nil"/>
              <w:bottom w:val="nil"/>
              <w:right w:val="single" w:sz="4" w:space="0" w:color="000000"/>
            </w:tcBorders>
            <w:shd w:val="clear" w:color="auto" w:fill="auto"/>
            <w:vAlign w:val="center"/>
          </w:tcPr>
          <w:p w14:paraId="290CD267" w14:textId="77777777" w:rsidR="003E73DC" w:rsidRDefault="003E73DC">
            <w:pPr>
              <w:widowControl/>
              <w:spacing w:line="240" w:lineRule="atLeast"/>
              <w:ind w:firstLineChars="0" w:firstLine="0"/>
              <w:jc w:val="center"/>
              <w:textAlignment w:val="center"/>
              <w:rPr>
                <w:rFonts w:ascii="仿宋" w:eastAsia="仿宋" w:hAnsi="仿宋" w:cs="仿宋"/>
                <w:color w:val="000000"/>
                <w:sz w:val="18"/>
                <w:szCs w:val="18"/>
              </w:rPr>
            </w:pPr>
          </w:p>
        </w:tc>
      </w:tr>
      <w:tr w:rsidR="003E73DC" w14:paraId="6D0A18CA" w14:textId="77777777">
        <w:trPr>
          <w:trHeight w:val="840"/>
        </w:trPr>
        <w:tc>
          <w:tcPr>
            <w:tcW w:w="341" w:type="pct"/>
            <w:tcBorders>
              <w:top w:val="single" w:sz="4" w:space="0" w:color="auto"/>
              <w:left w:val="single" w:sz="4" w:space="0" w:color="000000"/>
              <w:bottom w:val="single" w:sz="4" w:space="0" w:color="000000"/>
              <w:right w:val="single" w:sz="4" w:space="0" w:color="000000"/>
            </w:tcBorders>
            <w:shd w:val="clear" w:color="auto" w:fill="auto"/>
            <w:vAlign w:val="center"/>
          </w:tcPr>
          <w:p w14:paraId="01EA5ABB" w14:textId="77777777" w:rsidR="003E73DC" w:rsidRDefault="00000000">
            <w:pPr>
              <w:spacing w:line="240" w:lineRule="atLeast"/>
              <w:ind w:firstLineChars="0" w:firstLine="0"/>
              <w:jc w:val="center"/>
              <w:rPr>
                <w:rFonts w:ascii="仿宋" w:eastAsia="仿宋" w:hAnsi="仿宋" w:cs="仿宋"/>
                <w:color w:val="000000"/>
                <w:sz w:val="18"/>
                <w:szCs w:val="18"/>
              </w:rPr>
            </w:pPr>
            <w:r>
              <w:rPr>
                <w:rFonts w:ascii="仿宋" w:eastAsia="仿宋" w:hAnsi="仿宋" w:cs="仿宋" w:hint="eastAsia"/>
                <w:color w:val="000000"/>
                <w:sz w:val="18"/>
                <w:szCs w:val="18"/>
              </w:rPr>
              <w:t>满意度指标（10分）</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75A54"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社会公众或服务对象满意度</w:t>
            </w:r>
          </w:p>
        </w:tc>
        <w:tc>
          <w:tcPr>
            <w:tcW w:w="558" w:type="pct"/>
            <w:tcBorders>
              <w:top w:val="single" w:sz="4" w:space="0" w:color="000000"/>
              <w:left w:val="single" w:sz="4" w:space="0" w:color="000000"/>
              <w:bottom w:val="nil"/>
              <w:right w:val="single" w:sz="4" w:space="0" w:color="000000"/>
            </w:tcBorders>
            <w:shd w:val="clear" w:color="auto" w:fill="auto"/>
            <w:vAlign w:val="center"/>
          </w:tcPr>
          <w:p w14:paraId="2D410A4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参会人员满意度</w:t>
            </w:r>
          </w:p>
        </w:tc>
        <w:tc>
          <w:tcPr>
            <w:tcW w:w="422" w:type="pct"/>
            <w:tcBorders>
              <w:top w:val="single" w:sz="4" w:space="0" w:color="000000"/>
              <w:left w:val="single" w:sz="4" w:space="0" w:color="000000"/>
              <w:bottom w:val="nil"/>
              <w:right w:val="nil"/>
            </w:tcBorders>
            <w:shd w:val="clear" w:color="auto" w:fill="auto"/>
            <w:vAlign w:val="center"/>
          </w:tcPr>
          <w:p w14:paraId="33352F4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A6266B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参会人员满意度达90%以上，得10分，每下降1%扣0.5分，扣完为止。</w:t>
            </w:r>
          </w:p>
        </w:tc>
        <w:tc>
          <w:tcPr>
            <w:tcW w:w="339" w:type="pct"/>
            <w:tcBorders>
              <w:top w:val="single" w:sz="4" w:space="0" w:color="000000"/>
              <w:left w:val="nil"/>
              <w:bottom w:val="nil"/>
              <w:right w:val="single" w:sz="4" w:space="0" w:color="000000"/>
            </w:tcBorders>
            <w:shd w:val="clear" w:color="auto" w:fill="auto"/>
            <w:vAlign w:val="center"/>
          </w:tcPr>
          <w:p w14:paraId="4C0B6AB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659CAEF9" w14:textId="77777777">
        <w:trPr>
          <w:trHeight w:val="840"/>
        </w:trPr>
        <w:tc>
          <w:tcPr>
            <w:tcW w:w="466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5F891" w14:textId="77777777" w:rsidR="003E73DC" w:rsidRDefault="00000000">
            <w:pPr>
              <w:widowControl/>
              <w:spacing w:line="240" w:lineRule="atLeast"/>
              <w:ind w:firstLineChars="0" w:firstLine="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总分</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D9DD4" w14:textId="77777777" w:rsidR="003E73DC" w:rsidRDefault="00000000">
            <w:pPr>
              <w:widowControl/>
              <w:spacing w:line="240" w:lineRule="atLeast"/>
              <w:ind w:firstLineChars="0" w:firstLine="0"/>
              <w:jc w:val="center"/>
              <w:textAlignment w:val="center"/>
              <w:rPr>
                <w:rFonts w:ascii="宋体" w:hAnsi="宋体" w:cs="宋体"/>
                <w:b/>
                <w:bCs/>
                <w:color w:val="000000"/>
                <w:sz w:val="18"/>
                <w:szCs w:val="18"/>
              </w:rPr>
            </w:pPr>
            <w:r>
              <w:rPr>
                <w:rFonts w:ascii="宋体" w:hAnsi="宋体" w:cs="宋体" w:hint="eastAsia"/>
                <w:b/>
                <w:bCs/>
                <w:color w:val="000000"/>
                <w:sz w:val="18"/>
                <w:szCs w:val="18"/>
              </w:rPr>
              <w:t>96</w:t>
            </w:r>
          </w:p>
        </w:tc>
      </w:tr>
    </w:tbl>
    <w:p w14:paraId="46F161F2" w14:textId="77777777" w:rsidR="003E73DC" w:rsidRDefault="003E73DC">
      <w:pPr>
        <w:pStyle w:val="a0"/>
        <w:ind w:firstLineChars="0" w:firstLine="0"/>
      </w:pPr>
    </w:p>
    <w:sectPr w:rsidR="003E73DC">
      <w:footerReference w:type="default" r:id="rId12"/>
      <w:pgSz w:w="11906" w:h="16838"/>
      <w:pgMar w:top="1928" w:right="1531" w:bottom="1701" w:left="1531" w:header="737" w:footer="851" w:gutter="0"/>
      <w:pgNumType w:start="1"/>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1968" w14:textId="77777777" w:rsidR="006734C3" w:rsidRDefault="006734C3">
      <w:pPr>
        <w:spacing w:line="240" w:lineRule="auto"/>
        <w:ind w:firstLine="560"/>
      </w:pPr>
      <w:r>
        <w:separator/>
      </w:r>
    </w:p>
  </w:endnote>
  <w:endnote w:type="continuationSeparator" w:id="0">
    <w:p w14:paraId="4A1867B7" w14:textId="77777777" w:rsidR="006734C3" w:rsidRDefault="006734C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9658" w14:textId="77777777" w:rsidR="003E73DC" w:rsidRDefault="003E73DC">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074E" w14:textId="77777777" w:rsidR="003E73DC" w:rsidRDefault="00000000">
    <w:pPr>
      <w:pStyle w:val="a4"/>
      <w:ind w:firstLine="360"/>
      <w:jc w:val="center"/>
    </w:pPr>
    <w:r>
      <w:fldChar w:fldCharType="begin"/>
    </w:r>
    <w:r>
      <w:instrText xml:space="preserve"> PAGE   \* MERGEFORMAT </w:instrText>
    </w:r>
    <w:r>
      <w:fldChar w:fldCharType="separate"/>
    </w:r>
    <w:r>
      <w:t>1</w:t>
    </w:r>
    <w:r>
      <w:fldChar w:fldCharType="end"/>
    </w:r>
  </w:p>
  <w:p w14:paraId="1C5316D3" w14:textId="77777777" w:rsidR="003E73DC" w:rsidRDefault="003E73DC">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27B4" w14:textId="77777777" w:rsidR="006734C3" w:rsidRDefault="006734C3">
      <w:pPr>
        <w:ind w:firstLine="560"/>
      </w:pPr>
      <w:r>
        <w:separator/>
      </w:r>
    </w:p>
  </w:footnote>
  <w:footnote w:type="continuationSeparator" w:id="0">
    <w:p w14:paraId="2C232725" w14:textId="77777777" w:rsidR="006734C3" w:rsidRDefault="006734C3">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B5B" w14:textId="77777777" w:rsidR="003E73DC" w:rsidRDefault="003E73DC">
    <w:pPr>
      <w:pStyle w:val="a5"/>
      <w:ind w:firstLine="360"/>
      <w:jc w:val="center"/>
    </w:pPr>
  </w:p>
  <w:p w14:paraId="3876B500" w14:textId="77777777" w:rsidR="003E73DC" w:rsidRDefault="003E73DC">
    <w:pPr>
      <w:pStyle w:val="a5"/>
      <w:ind w:firstLine="360"/>
      <w:jc w:val="center"/>
    </w:pPr>
  </w:p>
  <w:p w14:paraId="3D0A8CE7" w14:textId="77777777" w:rsidR="003E73DC" w:rsidRDefault="003E73DC">
    <w:pPr>
      <w:pStyle w:val="a5"/>
      <w:ind w:firstLineChars="0" w:firstLine="0"/>
      <w:rPr>
        <w:rFonts w:ascii="黑体" w:eastAsia="黑体" w:hAnsi="黑体" w:cs="黑体"/>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EB05" w14:textId="77777777" w:rsidR="003E73DC" w:rsidRDefault="003E73DC">
    <w:pPr>
      <w:pStyle w:val="a5"/>
      <w:ind w:firstLine="360"/>
      <w:jc w:val="center"/>
    </w:pPr>
  </w:p>
  <w:p w14:paraId="1E1CF416" w14:textId="77777777" w:rsidR="003E73DC" w:rsidRDefault="003E73DC">
    <w:pPr>
      <w:pStyle w:val="a5"/>
      <w:ind w:firstLine="360"/>
      <w:jc w:val="center"/>
    </w:pPr>
  </w:p>
  <w:p w14:paraId="57CCBE97" w14:textId="77777777" w:rsidR="003E73DC" w:rsidRDefault="003E73DC">
    <w:pPr>
      <w:pStyle w:val="a5"/>
      <w:ind w:firstLineChars="0" w:firstLine="0"/>
    </w:pPr>
  </w:p>
  <w:p w14:paraId="64B89573" w14:textId="77777777" w:rsidR="003E73DC" w:rsidRDefault="00000000">
    <w:pPr>
      <w:pStyle w:val="a5"/>
      <w:pBdr>
        <w:bottom w:val="single" w:sz="4" w:space="1" w:color="auto"/>
      </w:pBdr>
      <w:ind w:firstLineChars="0" w:firstLine="0"/>
      <w:jc w:val="center"/>
      <w:rPr>
        <w:rFonts w:asciiTheme="majorEastAsia" w:eastAsiaTheme="majorEastAsia" w:hAnsiTheme="majorEastAsia" w:cstheme="majorEastAsia"/>
        <w:b/>
        <w:bCs/>
        <w:szCs w:val="18"/>
      </w:rPr>
    </w:pPr>
    <w:r>
      <w:rPr>
        <w:rFonts w:asciiTheme="majorEastAsia" w:eastAsiaTheme="majorEastAsia" w:hAnsiTheme="majorEastAsia" w:cstheme="majorEastAsia" w:hint="eastAsia"/>
        <w:b/>
        <w:bCs/>
        <w:szCs w:val="18"/>
      </w:rPr>
      <w:t>2021年度南昌经济技术开发区经贸发展局第十二届中国卫星导航年会江西地方形象馆项目绩效评价报告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1CA19"/>
    <w:multiLevelType w:val="singleLevel"/>
    <w:tmpl w:val="8D51CA19"/>
    <w:lvl w:ilvl="0">
      <w:start w:val="2"/>
      <w:numFmt w:val="decimal"/>
      <w:suff w:val="nothing"/>
      <w:lvlText w:val="%1、"/>
      <w:lvlJc w:val="left"/>
    </w:lvl>
  </w:abstractNum>
  <w:abstractNum w:abstractNumId="1" w15:restartNumberingAfterBreak="0">
    <w:nsid w:val="CA458E31"/>
    <w:multiLevelType w:val="singleLevel"/>
    <w:tmpl w:val="CA458E31"/>
    <w:lvl w:ilvl="0">
      <w:start w:val="2"/>
      <w:numFmt w:val="chineseCounting"/>
      <w:suff w:val="nothing"/>
      <w:lvlText w:val="（%1）"/>
      <w:lvlJc w:val="left"/>
      <w:rPr>
        <w:rFonts w:hint="eastAsia"/>
      </w:rPr>
    </w:lvl>
  </w:abstractNum>
  <w:abstractNum w:abstractNumId="2" w15:restartNumberingAfterBreak="0">
    <w:nsid w:val="DE30516C"/>
    <w:multiLevelType w:val="singleLevel"/>
    <w:tmpl w:val="DE30516C"/>
    <w:lvl w:ilvl="0">
      <w:start w:val="6"/>
      <w:numFmt w:val="chineseCounting"/>
      <w:suff w:val="nothing"/>
      <w:lvlText w:val="%1、"/>
      <w:lvlJc w:val="left"/>
      <w:rPr>
        <w:rFonts w:hint="eastAsia"/>
      </w:rPr>
    </w:lvl>
  </w:abstractNum>
  <w:abstractNum w:abstractNumId="3" w15:restartNumberingAfterBreak="0">
    <w:nsid w:val="ECCDDE09"/>
    <w:multiLevelType w:val="singleLevel"/>
    <w:tmpl w:val="ECCDDE09"/>
    <w:lvl w:ilvl="0">
      <w:start w:val="2"/>
      <w:numFmt w:val="decimal"/>
      <w:suff w:val="nothing"/>
      <w:lvlText w:val="%1、"/>
      <w:lvlJc w:val="left"/>
    </w:lvl>
  </w:abstractNum>
  <w:abstractNum w:abstractNumId="4" w15:restartNumberingAfterBreak="0">
    <w:nsid w:val="FA69E428"/>
    <w:multiLevelType w:val="singleLevel"/>
    <w:tmpl w:val="FA69E428"/>
    <w:lvl w:ilvl="0">
      <w:start w:val="3"/>
      <w:numFmt w:val="chineseCounting"/>
      <w:suff w:val="nothing"/>
      <w:lvlText w:val="%1、"/>
      <w:lvlJc w:val="left"/>
      <w:rPr>
        <w:rFonts w:hint="eastAsia"/>
      </w:rPr>
    </w:lvl>
  </w:abstractNum>
  <w:abstractNum w:abstractNumId="5" w15:restartNumberingAfterBreak="0">
    <w:nsid w:val="05267BF2"/>
    <w:multiLevelType w:val="singleLevel"/>
    <w:tmpl w:val="05267BF2"/>
    <w:lvl w:ilvl="0">
      <w:start w:val="1"/>
      <w:numFmt w:val="chineseCounting"/>
      <w:suff w:val="nothing"/>
      <w:lvlText w:val="（%1）"/>
      <w:lvlJc w:val="left"/>
      <w:rPr>
        <w:rFonts w:hint="eastAsia"/>
      </w:rPr>
    </w:lvl>
  </w:abstractNum>
  <w:abstractNum w:abstractNumId="6" w15:restartNumberingAfterBreak="0">
    <w:nsid w:val="6E598C7E"/>
    <w:multiLevelType w:val="singleLevel"/>
    <w:tmpl w:val="6E598C7E"/>
    <w:lvl w:ilvl="0">
      <w:start w:val="1"/>
      <w:numFmt w:val="decimal"/>
      <w:suff w:val="nothing"/>
      <w:lvlText w:val="（%1）"/>
      <w:lvlJc w:val="left"/>
    </w:lvl>
  </w:abstractNum>
  <w:abstractNum w:abstractNumId="7" w15:restartNumberingAfterBreak="0">
    <w:nsid w:val="7472057F"/>
    <w:multiLevelType w:val="singleLevel"/>
    <w:tmpl w:val="7472057F"/>
    <w:lvl w:ilvl="0">
      <w:start w:val="2"/>
      <w:numFmt w:val="decimal"/>
      <w:suff w:val="nothing"/>
      <w:lvlText w:val="%1、"/>
      <w:lvlJc w:val="left"/>
    </w:lvl>
  </w:abstractNum>
  <w:abstractNum w:abstractNumId="8" w15:restartNumberingAfterBreak="0">
    <w:nsid w:val="7AC620CC"/>
    <w:multiLevelType w:val="singleLevel"/>
    <w:tmpl w:val="7AC620CC"/>
    <w:lvl w:ilvl="0">
      <w:start w:val="3"/>
      <w:numFmt w:val="chineseCounting"/>
      <w:suff w:val="nothing"/>
      <w:lvlText w:val="（%1）"/>
      <w:lvlJc w:val="left"/>
      <w:rPr>
        <w:rFonts w:hint="eastAsia"/>
      </w:rPr>
    </w:lvl>
  </w:abstractNum>
  <w:num w:numId="1" w16cid:durableId="691498391">
    <w:abstractNumId w:val="7"/>
  </w:num>
  <w:num w:numId="2" w16cid:durableId="1530415568">
    <w:abstractNumId w:val="3"/>
  </w:num>
  <w:num w:numId="3" w16cid:durableId="1106996897">
    <w:abstractNumId w:val="0"/>
  </w:num>
  <w:num w:numId="4" w16cid:durableId="961881780">
    <w:abstractNumId w:val="6"/>
  </w:num>
  <w:num w:numId="5" w16cid:durableId="1023749931">
    <w:abstractNumId w:val="8"/>
  </w:num>
  <w:num w:numId="6" w16cid:durableId="1009866305">
    <w:abstractNumId w:val="4"/>
  </w:num>
  <w:num w:numId="7" w16cid:durableId="546525249">
    <w:abstractNumId w:val="5"/>
  </w:num>
  <w:num w:numId="8" w16cid:durableId="1063795600">
    <w:abstractNumId w:val="1"/>
  </w:num>
  <w:num w:numId="9" w16cid:durableId="1980643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Y3ZTM0MzViMDgwMGMyNGZmYTI5YzdkOTQxMTI0MDgifQ=="/>
  </w:docVars>
  <w:rsids>
    <w:rsidRoot w:val="00172A27"/>
    <w:rsid w:val="00172A27"/>
    <w:rsid w:val="0022676B"/>
    <w:rsid w:val="002B3860"/>
    <w:rsid w:val="003306F6"/>
    <w:rsid w:val="003E73DC"/>
    <w:rsid w:val="006734C3"/>
    <w:rsid w:val="006F1E18"/>
    <w:rsid w:val="00A61E2C"/>
    <w:rsid w:val="00F90538"/>
    <w:rsid w:val="00FE1942"/>
    <w:rsid w:val="010D294D"/>
    <w:rsid w:val="01370664"/>
    <w:rsid w:val="01AF5DD3"/>
    <w:rsid w:val="0273523D"/>
    <w:rsid w:val="030C11F3"/>
    <w:rsid w:val="03264275"/>
    <w:rsid w:val="033D0125"/>
    <w:rsid w:val="03550CCB"/>
    <w:rsid w:val="03747D9C"/>
    <w:rsid w:val="0375005C"/>
    <w:rsid w:val="037A11E6"/>
    <w:rsid w:val="03A32E20"/>
    <w:rsid w:val="03E34342"/>
    <w:rsid w:val="044478DD"/>
    <w:rsid w:val="04977E9F"/>
    <w:rsid w:val="05197B6F"/>
    <w:rsid w:val="051F7258"/>
    <w:rsid w:val="05F969AA"/>
    <w:rsid w:val="062B4C6D"/>
    <w:rsid w:val="067909A4"/>
    <w:rsid w:val="06923492"/>
    <w:rsid w:val="06EB064C"/>
    <w:rsid w:val="0713170E"/>
    <w:rsid w:val="071D19D1"/>
    <w:rsid w:val="07230D7F"/>
    <w:rsid w:val="07377E09"/>
    <w:rsid w:val="07CB14D1"/>
    <w:rsid w:val="07CE7E43"/>
    <w:rsid w:val="07E84F72"/>
    <w:rsid w:val="07E92CA1"/>
    <w:rsid w:val="08336D51"/>
    <w:rsid w:val="085B32BE"/>
    <w:rsid w:val="08A83BA2"/>
    <w:rsid w:val="09414A3E"/>
    <w:rsid w:val="09F24CC7"/>
    <w:rsid w:val="0A061D29"/>
    <w:rsid w:val="0A0A6FE5"/>
    <w:rsid w:val="0A126BCB"/>
    <w:rsid w:val="0B996B5D"/>
    <w:rsid w:val="0BA2678F"/>
    <w:rsid w:val="0BF01516"/>
    <w:rsid w:val="0C1F3035"/>
    <w:rsid w:val="0C9231F7"/>
    <w:rsid w:val="0DE34366"/>
    <w:rsid w:val="0E922FED"/>
    <w:rsid w:val="0EC2194A"/>
    <w:rsid w:val="0F9A2EE3"/>
    <w:rsid w:val="0FDD37DD"/>
    <w:rsid w:val="102D2539"/>
    <w:rsid w:val="104314E8"/>
    <w:rsid w:val="10AB2ADB"/>
    <w:rsid w:val="10DD0DAF"/>
    <w:rsid w:val="10ED4569"/>
    <w:rsid w:val="11565270"/>
    <w:rsid w:val="119E651E"/>
    <w:rsid w:val="11C674CB"/>
    <w:rsid w:val="12202650"/>
    <w:rsid w:val="13115754"/>
    <w:rsid w:val="131E7E5C"/>
    <w:rsid w:val="13F21426"/>
    <w:rsid w:val="140B65B3"/>
    <w:rsid w:val="142D4818"/>
    <w:rsid w:val="146C3A9E"/>
    <w:rsid w:val="14F0110D"/>
    <w:rsid w:val="15DE04DC"/>
    <w:rsid w:val="1606592F"/>
    <w:rsid w:val="169B1161"/>
    <w:rsid w:val="16AF2E66"/>
    <w:rsid w:val="16C936F2"/>
    <w:rsid w:val="172D1F20"/>
    <w:rsid w:val="176512E5"/>
    <w:rsid w:val="17DE155E"/>
    <w:rsid w:val="17E00515"/>
    <w:rsid w:val="18F91828"/>
    <w:rsid w:val="19053DF5"/>
    <w:rsid w:val="1913719E"/>
    <w:rsid w:val="193D1C1D"/>
    <w:rsid w:val="194F2FFE"/>
    <w:rsid w:val="199649B5"/>
    <w:rsid w:val="19B75F58"/>
    <w:rsid w:val="1A1536A1"/>
    <w:rsid w:val="1A9545E6"/>
    <w:rsid w:val="1ABB69E3"/>
    <w:rsid w:val="1B1A1886"/>
    <w:rsid w:val="1BD25E85"/>
    <w:rsid w:val="1C64165D"/>
    <w:rsid w:val="1CCD5FBF"/>
    <w:rsid w:val="1D0E64DC"/>
    <w:rsid w:val="1D216C8C"/>
    <w:rsid w:val="1DA0577E"/>
    <w:rsid w:val="1DEB0A6A"/>
    <w:rsid w:val="1E433E8E"/>
    <w:rsid w:val="1E4D167F"/>
    <w:rsid w:val="1E511627"/>
    <w:rsid w:val="1E5A31BE"/>
    <w:rsid w:val="1E9C6D8E"/>
    <w:rsid w:val="1EA72C55"/>
    <w:rsid w:val="1F433613"/>
    <w:rsid w:val="1F75506D"/>
    <w:rsid w:val="1F9724DC"/>
    <w:rsid w:val="20185AAF"/>
    <w:rsid w:val="215B13C3"/>
    <w:rsid w:val="21DB2A44"/>
    <w:rsid w:val="22340431"/>
    <w:rsid w:val="22680015"/>
    <w:rsid w:val="22C019E9"/>
    <w:rsid w:val="23673D54"/>
    <w:rsid w:val="239B6166"/>
    <w:rsid w:val="240774B1"/>
    <w:rsid w:val="24091790"/>
    <w:rsid w:val="24224E0D"/>
    <w:rsid w:val="24905389"/>
    <w:rsid w:val="24F23021"/>
    <w:rsid w:val="256C6D1A"/>
    <w:rsid w:val="259358AB"/>
    <w:rsid w:val="26D03519"/>
    <w:rsid w:val="27675078"/>
    <w:rsid w:val="27E73F9D"/>
    <w:rsid w:val="281567C9"/>
    <w:rsid w:val="28F05023"/>
    <w:rsid w:val="296740D1"/>
    <w:rsid w:val="298309EF"/>
    <w:rsid w:val="29C9356B"/>
    <w:rsid w:val="29CE655E"/>
    <w:rsid w:val="29FD0939"/>
    <w:rsid w:val="2A657CC4"/>
    <w:rsid w:val="2B527937"/>
    <w:rsid w:val="2B5928FE"/>
    <w:rsid w:val="2BA245F8"/>
    <w:rsid w:val="2BDF3FDA"/>
    <w:rsid w:val="2CAD1024"/>
    <w:rsid w:val="2CC94F8B"/>
    <w:rsid w:val="2CFA7572"/>
    <w:rsid w:val="2D46629B"/>
    <w:rsid w:val="2DB83960"/>
    <w:rsid w:val="2E295840"/>
    <w:rsid w:val="2E4C1DE7"/>
    <w:rsid w:val="2F211D71"/>
    <w:rsid w:val="2F495C8D"/>
    <w:rsid w:val="2F981391"/>
    <w:rsid w:val="308F3DF3"/>
    <w:rsid w:val="311D2F79"/>
    <w:rsid w:val="31E841BB"/>
    <w:rsid w:val="328B54B0"/>
    <w:rsid w:val="34145E6A"/>
    <w:rsid w:val="3483795B"/>
    <w:rsid w:val="350F2895"/>
    <w:rsid w:val="355D3A63"/>
    <w:rsid w:val="359A79F0"/>
    <w:rsid w:val="362732C3"/>
    <w:rsid w:val="36452A9C"/>
    <w:rsid w:val="36775B39"/>
    <w:rsid w:val="367B0D9C"/>
    <w:rsid w:val="36DE32B6"/>
    <w:rsid w:val="36F75F0F"/>
    <w:rsid w:val="37031DFA"/>
    <w:rsid w:val="37E336EC"/>
    <w:rsid w:val="37EB2642"/>
    <w:rsid w:val="38135131"/>
    <w:rsid w:val="381C04D2"/>
    <w:rsid w:val="387935EA"/>
    <w:rsid w:val="392A3563"/>
    <w:rsid w:val="394A021A"/>
    <w:rsid w:val="39B14E32"/>
    <w:rsid w:val="3ACD7C78"/>
    <w:rsid w:val="3C263F26"/>
    <w:rsid w:val="3D367831"/>
    <w:rsid w:val="3D492443"/>
    <w:rsid w:val="3D916074"/>
    <w:rsid w:val="3DED7CD6"/>
    <w:rsid w:val="3E3C2FB3"/>
    <w:rsid w:val="3E4667A1"/>
    <w:rsid w:val="3F700448"/>
    <w:rsid w:val="3F7911BE"/>
    <w:rsid w:val="3F913313"/>
    <w:rsid w:val="3FB711FC"/>
    <w:rsid w:val="402733D7"/>
    <w:rsid w:val="40381DD6"/>
    <w:rsid w:val="4171789D"/>
    <w:rsid w:val="41B84987"/>
    <w:rsid w:val="42086406"/>
    <w:rsid w:val="421C727C"/>
    <w:rsid w:val="4222263D"/>
    <w:rsid w:val="426D5A4D"/>
    <w:rsid w:val="42992CB5"/>
    <w:rsid w:val="43041D0A"/>
    <w:rsid w:val="43281176"/>
    <w:rsid w:val="43441926"/>
    <w:rsid w:val="43675AD2"/>
    <w:rsid w:val="447C21B0"/>
    <w:rsid w:val="44C25999"/>
    <w:rsid w:val="44CE14A3"/>
    <w:rsid w:val="452C5C1B"/>
    <w:rsid w:val="45717FE0"/>
    <w:rsid w:val="461151B7"/>
    <w:rsid w:val="46670866"/>
    <w:rsid w:val="466951D9"/>
    <w:rsid w:val="46AC7197"/>
    <w:rsid w:val="46B476AB"/>
    <w:rsid w:val="46DC111B"/>
    <w:rsid w:val="46E10837"/>
    <w:rsid w:val="47527D19"/>
    <w:rsid w:val="47BD12CE"/>
    <w:rsid w:val="47F44954"/>
    <w:rsid w:val="488F19E0"/>
    <w:rsid w:val="48DF029C"/>
    <w:rsid w:val="4ADD4B27"/>
    <w:rsid w:val="4B3014E1"/>
    <w:rsid w:val="4B7862F0"/>
    <w:rsid w:val="4B8B1BA5"/>
    <w:rsid w:val="4C152BC9"/>
    <w:rsid w:val="4D0F4352"/>
    <w:rsid w:val="4D144D0B"/>
    <w:rsid w:val="4D320506"/>
    <w:rsid w:val="4D7D1B31"/>
    <w:rsid w:val="4DC32E36"/>
    <w:rsid w:val="4E5F4A6D"/>
    <w:rsid w:val="4EC66A06"/>
    <w:rsid w:val="4F657280"/>
    <w:rsid w:val="4FFF63AB"/>
    <w:rsid w:val="502C45F4"/>
    <w:rsid w:val="502C4D61"/>
    <w:rsid w:val="506D724B"/>
    <w:rsid w:val="508D1EAD"/>
    <w:rsid w:val="50944DF8"/>
    <w:rsid w:val="51A72EFC"/>
    <w:rsid w:val="52304CA0"/>
    <w:rsid w:val="528A29A0"/>
    <w:rsid w:val="52A72CE8"/>
    <w:rsid w:val="53416DD5"/>
    <w:rsid w:val="53581038"/>
    <w:rsid w:val="539D2E7D"/>
    <w:rsid w:val="53A07EC4"/>
    <w:rsid w:val="53EC720D"/>
    <w:rsid w:val="53FD3114"/>
    <w:rsid w:val="54485B16"/>
    <w:rsid w:val="546A5834"/>
    <w:rsid w:val="54B15B1B"/>
    <w:rsid w:val="54B51CCF"/>
    <w:rsid w:val="55000166"/>
    <w:rsid w:val="55405F7A"/>
    <w:rsid w:val="555E493C"/>
    <w:rsid w:val="5574183A"/>
    <w:rsid w:val="55A96E3B"/>
    <w:rsid w:val="55BD0BD1"/>
    <w:rsid w:val="55C760C6"/>
    <w:rsid w:val="55E57CEB"/>
    <w:rsid w:val="560C6DF3"/>
    <w:rsid w:val="57037CDF"/>
    <w:rsid w:val="57B819BF"/>
    <w:rsid w:val="57F8278E"/>
    <w:rsid w:val="581A012A"/>
    <w:rsid w:val="58915FA8"/>
    <w:rsid w:val="592D4820"/>
    <w:rsid w:val="59364ED3"/>
    <w:rsid w:val="59CC1921"/>
    <w:rsid w:val="5A147D2C"/>
    <w:rsid w:val="5AC01B5E"/>
    <w:rsid w:val="5BD95361"/>
    <w:rsid w:val="5BF94355"/>
    <w:rsid w:val="5C6E6AF1"/>
    <w:rsid w:val="5CED1F2E"/>
    <w:rsid w:val="5CF4240B"/>
    <w:rsid w:val="5D0626E1"/>
    <w:rsid w:val="5D0929EA"/>
    <w:rsid w:val="5D52194E"/>
    <w:rsid w:val="5D792C9E"/>
    <w:rsid w:val="5D83389A"/>
    <w:rsid w:val="5D843FC7"/>
    <w:rsid w:val="5E8E1537"/>
    <w:rsid w:val="5E9C7C8D"/>
    <w:rsid w:val="5EA06D09"/>
    <w:rsid w:val="5EB006F0"/>
    <w:rsid w:val="5EC30673"/>
    <w:rsid w:val="5F1F40D2"/>
    <w:rsid w:val="5F7C70B7"/>
    <w:rsid w:val="5FC75DF8"/>
    <w:rsid w:val="60D52AD6"/>
    <w:rsid w:val="61043447"/>
    <w:rsid w:val="61136A9E"/>
    <w:rsid w:val="614C6A05"/>
    <w:rsid w:val="61BD2120"/>
    <w:rsid w:val="61EC3916"/>
    <w:rsid w:val="620F37B8"/>
    <w:rsid w:val="62903E6C"/>
    <w:rsid w:val="62E2402B"/>
    <w:rsid w:val="632D4275"/>
    <w:rsid w:val="63644DA4"/>
    <w:rsid w:val="63F52603"/>
    <w:rsid w:val="641B2E59"/>
    <w:rsid w:val="642776D6"/>
    <w:rsid w:val="64424CD7"/>
    <w:rsid w:val="65127164"/>
    <w:rsid w:val="65155B40"/>
    <w:rsid w:val="653B4EB6"/>
    <w:rsid w:val="65742813"/>
    <w:rsid w:val="65EE3D31"/>
    <w:rsid w:val="66465988"/>
    <w:rsid w:val="66C53896"/>
    <w:rsid w:val="66DD6674"/>
    <w:rsid w:val="671967A2"/>
    <w:rsid w:val="672B6997"/>
    <w:rsid w:val="679877B2"/>
    <w:rsid w:val="68BA526B"/>
    <w:rsid w:val="691F443B"/>
    <w:rsid w:val="694B02A3"/>
    <w:rsid w:val="697469DA"/>
    <w:rsid w:val="6AB46D53"/>
    <w:rsid w:val="6ACD0F1A"/>
    <w:rsid w:val="6B0D5E40"/>
    <w:rsid w:val="6B220C39"/>
    <w:rsid w:val="6BAA5369"/>
    <w:rsid w:val="6BAE1481"/>
    <w:rsid w:val="6BFA7FE7"/>
    <w:rsid w:val="6C1D2B12"/>
    <w:rsid w:val="6C8D3E20"/>
    <w:rsid w:val="6CEC1B51"/>
    <w:rsid w:val="6D003C58"/>
    <w:rsid w:val="6D38237C"/>
    <w:rsid w:val="6D426A0B"/>
    <w:rsid w:val="6D71529C"/>
    <w:rsid w:val="6D8E0BC6"/>
    <w:rsid w:val="6DDD28B7"/>
    <w:rsid w:val="6E000190"/>
    <w:rsid w:val="6E6A002E"/>
    <w:rsid w:val="6E7844A3"/>
    <w:rsid w:val="6F2C6300"/>
    <w:rsid w:val="6FF26A27"/>
    <w:rsid w:val="70262AB1"/>
    <w:rsid w:val="706A2F88"/>
    <w:rsid w:val="70F50F8E"/>
    <w:rsid w:val="710E4AED"/>
    <w:rsid w:val="7131159B"/>
    <w:rsid w:val="714600DD"/>
    <w:rsid w:val="72F36076"/>
    <w:rsid w:val="73172A54"/>
    <w:rsid w:val="73227DBF"/>
    <w:rsid w:val="73A256C9"/>
    <w:rsid w:val="73DA30DD"/>
    <w:rsid w:val="744116B5"/>
    <w:rsid w:val="74520087"/>
    <w:rsid w:val="754D3DEE"/>
    <w:rsid w:val="757E0ED9"/>
    <w:rsid w:val="758C0866"/>
    <w:rsid w:val="75C3245B"/>
    <w:rsid w:val="75E43CA1"/>
    <w:rsid w:val="762B1F05"/>
    <w:rsid w:val="76B705AF"/>
    <w:rsid w:val="76BB28DB"/>
    <w:rsid w:val="76E01001"/>
    <w:rsid w:val="77053370"/>
    <w:rsid w:val="77882D05"/>
    <w:rsid w:val="77D13D7B"/>
    <w:rsid w:val="784F6E3E"/>
    <w:rsid w:val="78867D32"/>
    <w:rsid w:val="789B3791"/>
    <w:rsid w:val="78B7789A"/>
    <w:rsid w:val="793C5439"/>
    <w:rsid w:val="7950014D"/>
    <w:rsid w:val="79B41C98"/>
    <w:rsid w:val="79D02741"/>
    <w:rsid w:val="79F1184A"/>
    <w:rsid w:val="7A112813"/>
    <w:rsid w:val="7A4F75B8"/>
    <w:rsid w:val="7A65520E"/>
    <w:rsid w:val="7AE32BD9"/>
    <w:rsid w:val="7B62561B"/>
    <w:rsid w:val="7BC30022"/>
    <w:rsid w:val="7C096541"/>
    <w:rsid w:val="7C1A6C29"/>
    <w:rsid w:val="7C876A78"/>
    <w:rsid w:val="7CC336C6"/>
    <w:rsid w:val="7D4738C5"/>
    <w:rsid w:val="7E9F7FDC"/>
    <w:rsid w:val="7FDE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0358E"/>
  <w15:docId w15:val="{C6ED97A5-4ECF-440A-B3F3-15F1316B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562"/>
      <w:jc w:val="both"/>
    </w:pPr>
    <w:rPr>
      <w:kern w:val="2"/>
      <w:sz w:val="28"/>
      <w:szCs w:val="24"/>
    </w:rPr>
  </w:style>
  <w:style w:type="paragraph" w:styleId="1">
    <w:name w:val="heading 1"/>
    <w:basedOn w:val="a"/>
    <w:next w:val="a"/>
    <w:link w:val="10"/>
    <w:qFormat/>
    <w:pPr>
      <w:keepNext/>
      <w:keepLines/>
      <w:spacing w:before="240" w:after="240"/>
      <w:ind w:firstLineChars="0" w:firstLine="0"/>
      <w:jc w:val="left"/>
      <w:outlineLvl w:val="0"/>
    </w:pPr>
    <w:rPr>
      <w:rFonts w:eastAsia="黑体"/>
      <w:b/>
      <w:bCs/>
      <w:kern w:val="44"/>
      <w:sz w:val="36"/>
      <w:szCs w:val="44"/>
    </w:rPr>
  </w:style>
  <w:style w:type="paragraph" w:styleId="2">
    <w:name w:val="heading 2"/>
    <w:basedOn w:val="a"/>
    <w:next w:val="a"/>
    <w:link w:val="20"/>
    <w:unhideWhenUsed/>
    <w:qFormat/>
    <w:pPr>
      <w:keepNext/>
      <w:keepLines/>
      <w:spacing w:beforeLines="50" w:before="50" w:afterLines="50" w:after="50"/>
      <w:ind w:firstLineChars="0" w:firstLine="0"/>
      <w:jc w:val="left"/>
      <w:outlineLvl w:val="1"/>
    </w:pPr>
    <w:rPr>
      <w:rFonts w:ascii="仿宋" w:eastAsia="黑体" w:hAnsi="仿宋"/>
      <w:b/>
      <w:bCs/>
      <w:sz w:val="32"/>
      <w:szCs w:val="32"/>
    </w:rPr>
  </w:style>
  <w:style w:type="paragraph" w:styleId="3">
    <w:name w:val="heading 3"/>
    <w:basedOn w:val="a"/>
    <w:next w:val="a"/>
    <w:unhideWhenUsed/>
    <w:qFormat/>
    <w:pPr>
      <w:keepNext/>
      <w:keepLines/>
      <w:spacing w:before="120" w:after="120"/>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qFormat/>
  </w:style>
  <w:style w:type="paragraph" w:styleId="a6">
    <w:name w:val="Normal (Web)"/>
    <w:basedOn w:val="a"/>
    <w:qFormat/>
    <w:pPr>
      <w:spacing w:beforeAutospacing="1" w:afterAutospacing="1"/>
      <w:jc w:val="left"/>
    </w:pPr>
    <w:rPr>
      <w:kern w:val="0"/>
      <w:sz w:val="24"/>
    </w:rPr>
  </w:style>
  <w:style w:type="character" w:customStyle="1" w:styleId="20">
    <w:name w:val="标题 2 字符"/>
    <w:link w:val="2"/>
    <w:qFormat/>
    <w:rPr>
      <w:rFonts w:ascii="仿宋" w:eastAsia="黑体" w:hAnsi="仿宋" w:cs="Times New Roman"/>
      <w:b/>
      <w:bCs/>
      <w:sz w:val="32"/>
      <w:szCs w:val="32"/>
    </w:rPr>
  </w:style>
  <w:style w:type="character" w:customStyle="1" w:styleId="10">
    <w:name w:val="标题 1 字符"/>
    <w:link w:val="1"/>
    <w:qFormat/>
    <w:rPr>
      <w:rFonts w:ascii="Times New Roman" w:eastAsia="黑体" w:hAnsi="Times New Roman" w:cs="Times New Roman"/>
      <w:b/>
      <w:bCs/>
      <w:kern w:val="44"/>
      <w:sz w:val="36"/>
      <w:szCs w:val="44"/>
    </w:rPr>
  </w:style>
  <w:style w:type="table" w:customStyle="1" w:styleId="30">
    <w:name w:val="网格型3"/>
    <w:basedOn w:val="a2"/>
    <w:uiPriority w:val="99"/>
    <w:unhideWhenUsed/>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项目支出绩效评价报告</dc:title>
  <dc:creator>JXB</dc:creator>
  <cp:lastModifiedBy>. wei</cp:lastModifiedBy>
  <cp:revision>5</cp:revision>
  <dcterms:created xsi:type="dcterms:W3CDTF">2012-06-06T01:30:00Z</dcterms:created>
  <dcterms:modified xsi:type="dcterms:W3CDTF">2023-07-03T03:15:00Z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2055357E051A4E54ABA16F68B1495BC2</vt:lpwstr>
  </property>
</Properties>
</file>