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一、一般公共预算方面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1、关于经开区20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年预算执行情况和202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年预算草案的报告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2、2021年提前下达市县转移支付资金情况表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3、202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年经开区“三公”经费预算编制情况说明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4、202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年经开区地方一般公共预算收入表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5、20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年经开区地方一般公共预算支出表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6、202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年经开区本级一般公共预算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本级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7、202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年经开区地方一般公共预算本级基本支出表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8、202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年经开区转移支付提前下达及税收返还明细表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9、2021年政府一般债务限额和余额情况表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二、政府性基金预算方面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10、202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年政府性基金预算收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入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安排情况表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11、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年政府性基金预算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支出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安排情况表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年政府性基金转移支付表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13、2021年政府专项债务限额和余额情况表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right="0" w:firstLine="422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三、国有资本经营预算方面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年国有资本经营预算收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入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15、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年国有资本经营预算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支出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情况表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社会保险基金预算方面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420" w:leftChars="0" w:right="0" w:rightChars="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、202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年社会保险基金收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入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预算表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420" w:leftChars="0" w:right="0" w:rightChars="0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17、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年社会保险基金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支出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预算表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地方政府债务方面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420" w:leftChars="0" w:right="0" w:rightChars="0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经开区2021年地方政府债务情况说明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EE7A1"/>
    <w:multiLevelType w:val="singleLevel"/>
    <w:tmpl w:val="6CEEE7A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58B74F"/>
    <w:multiLevelType w:val="singleLevel"/>
    <w:tmpl w:val="7158B7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YjNlM2UwN2FmMWY0MjVhODIwOWYxOGQ2ODY4MzYifQ=="/>
  </w:docVars>
  <w:rsids>
    <w:rsidRoot w:val="6A8A17A2"/>
    <w:rsid w:val="0DFD5099"/>
    <w:rsid w:val="1AA14372"/>
    <w:rsid w:val="276D56C9"/>
    <w:rsid w:val="67735EE3"/>
    <w:rsid w:val="6A8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451</Characters>
  <Lines>0</Lines>
  <Paragraphs>0</Paragraphs>
  <TotalTime>6</TotalTime>
  <ScaleCrop>false</ScaleCrop>
  <LinksUpToDate>false</LinksUpToDate>
  <CharactersWithSpaces>451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2022-04-01T09:55:00Z</dcterms:created>
  <dc:creator>黄勃</dc:creator>
  <cp:lastModifiedBy>肥妮</cp:lastModifiedBy>
  <dcterms:modified xsi:type="dcterms:W3CDTF">2022-05-12T03:08:39Z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20D7EE08429C422DB908D6958535E59C</vt:lpwstr>
  </property>
</Properties>
</file>