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仿宋" w:hAnsi="仿宋" w:eastAsia="仿宋" w:cs="仿宋"/>
          <w:sz w:val="32"/>
          <w:szCs w:val="32"/>
        </w:rPr>
      </w:pPr>
      <w:r>
        <w:rPr>
          <w:rFonts w:hint="eastAsia" w:ascii="仿宋" w:hAnsi="仿宋" w:eastAsia="仿宋" w:cs="仿宋"/>
          <w:sz w:val="32"/>
          <w:szCs w:val="32"/>
        </w:rPr>
        <w:t>附件1：</w:t>
      </w:r>
    </w:p>
    <w:p>
      <w:pPr>
        <w:spacing w:line="520" w:lineRule="exact"/>
        <w:jc w:val="center"/>
        <w:rPr>
          <w:rFonts w:ascii="黑体" w:hAnsi="黑体" w:eastAsia="黑体"/>
          <w:b/>
          <w:sz w:val="44"/>
          <w:szCs w:val="44"/>
        </w:rPr>
      </w:pPr>
      <w:r>
        <w:rPr>
          <w:rFonts w:hint="eastAsia" w:ascii="黑体" w:hAnsi="黑体" w:eastAsia="黑体"/>
          <w:b/>
          <w:sz w:val="44"/>
          <w:szCs w:val="44"/>
        </w:rPr>
        <w:t>南昌经济技术开发区城建事务中心</w:t>
      </w:r>
    </w:p>
    <w:p>
      <w:pPr>
        <w:spacing w:line="520" w:lineRule="exact"/>
        <w:jc w:val="center"/>
        <w:rPr>
          <w:rFonts w:ascii="黑体" w:hAnsi="黑体" w:eastAsia="黑体"/>
          <w:b/>
          <w:sz w:val="44"/>
          <w:szCs w:val="44"/>
        </w:rPr>
      </w:pPr>
      <w:r>
        <w:rPr>
          <w:rFonts w:hint="eastAsia" w:ascii="黑体" w:hAnsi="黑体" w:eastAsia="黑体"/>
          <w:b/>
          <w:sz w:val="44"/>
          <w:szCs w:val="44"/>
        </w:rPr>
        <w:t>2022年部门预算</w:t>
      </w:r>
    </w:p>
    <w:p/>
    <w:p>
      <w:pPr>
        <w:spacing w:line="600" w:lineRule="exact"/>
        <w:jc w:val="center"/>
        <w:rPr>
          <w:rFonts w:ascii="黑体" w:eastAsia="黑体"/>
          <w:sz w:val="32"/>
          <w:szCs w:val="32"/>
        </w:rPr>
      </w:pPr>
      <w:r>
        <w:rPr>
          <w:rFonts w:hint="eastAsia" w:ascii="黑体" w:eastAsia="黑体"/>
          <w:sz w:val="32"/>
          <w:szCs w:val="32"/>
        </w:rPr>
        <w:t>目    录</w:t>
      </w:r>
    </w:p>
    <w:p>
      <w:pPr>
        <w:widowControl/>
        <w:spacing w:line="600" w:lineRule="exact"/>
        <w:ind w:firstLine="643" w:firstLineChars="200"/>
        <w:jc w:val="left"/>
        <w:rPr>
          <w:rFonts w:ascii="仿宋" w:hAnsi="仿宋" w:eastAsia="仿宋" w:cs="仿宋"/>
          <w:b/>
          <w:sz w:val="32"/>
          <w:szCs w:val="30"/>
        </w:rPr>
      </w:pPr>
      <w:r>
        <w:rPr>
          <w:rFonts w:hint="eastAsia" w:ascii="仿宋" w:hAnsi="仿宋" w:eastAsia="仿宋" w:cs="仿宋"/>
          <w:b/>
          <w:sz w:val="32"/>
          <w:szCs w:val="30"/>
        </w:rPr>
        <w:t>第一部分  南昌经济技术开发区城建事务中心概况</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 xml:space="preserve">    一、部门主要职责</w:t>
      </w:r>
    </w:p>
    <w:p>
      <w:pPr>
        <w:widowControl/>
        <w:spacing w:line="60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 xml:space="preserve">    二、部门基本情况</w:t>
      </w:r>
    </w:p>
    <w:p>
      <w:pPr>
        <w:widowControl/>
        <w:spacing w:line="600" w:lineRule="exact"/>
        <w:ind w:firstLine="640"/>
        <w:jc w:val="left"/>
        <w:rPr>
          <w:rFonts w:ascii="仿宋" w:hAnsi="仿宋" w:eastAsia="仿宋" w:cs="仿宋"/>
          <w:b/>
          <w:sz w:val="32"/>
          <w:szCs w:val="30"/>
        </w:rPr>
      </w:pPr>
      <w:r>
        <w:rPr>
          <w:rFonts w:hint="eastAsia" w:ascii="仿宋" w:hAnsi="仿宋" w:eastAsia="仿宋" w:cs="仿宋"/>
          <w:b/>
          <w:kern w:val="0"/>
          <w:sz w:val="32"/>
          <w:szCs w:val="32"/>
        </w:rPr>
        <w:t xml:space="preserve">第二部分  </w:t>
      </w:r>
      <w:r>
        <w:rPr>
          <w:rFonts w:hint="eastAsia" w:ascii="仿宋" w:hAnsi="仿宋" w:eastAsia="仿宋" w:cs="仿宋"/>
          <w:b/>
          <w:sz w:val="32"/>
          <w:szCs w:val="30"/>
        </w:rPr>
        <w:t>南昌经济技术开发区城建事务中心2022年部门预算情况说明</w:t>
      </w:r>
    </w:p>
    <w:p>
      <w:pPr>
        <w:widowControl/>
        <w:spacing w:line="600" w:lineRule="exact"/>
        <w:ind w:firstLine="1280" w:firstLineChars="400"/>
        <w:jc w:val="left"/>
        <w:rPr>
          <w:rFonts w:ascii="仿宋" w:hAnsi="仿宋" w:eastAsia="仿宋" w:cs="仿宋"/>
          <w:sz w:val="32"/>
          <w:szCs w:val="30"/>
        </w:rPr>
      </w:pPr>
      <w:r>
        <w:rPr>
          <w:rFonts w:hint="eastAsia" w:ascii="仿宋" w:hAnsi="仿宋" w:eastAsia="仿宋" w:cs="仿宋"/>
          <w:sz w:val="32"/>
          <w:szCs w:val="30"/>
        </w:rPr>
        <w:t>一、2022年部门预算收支情况说明</w:t>
      </w:r>
    </w:p>
    <w:p>
      <w:pPr>
        <w:widowControl/>
        <w:spacing w:line="600" w:lineRule="exact"/>
        <w:ind w:firstLine="1280" w:firstLineChars="400"/>
        <w:jc w:val="left"/>
        <w:rPr>
          <w:rFonts w:ascii="仿宋" w:hAnsi="仿宋" w:eastAsia="仿宋" w:cs="仿宋"/>
          <w:color w:val="000000" w:themeColor="text1"/>
          <w:sz w:val="32"/>
          <w:szCs w:val="30"/>
          <w14:textFill>
            <w14:solidFill>
              <w14:schemeClr w14:val="tx1"/>
            </w14:solidFill>
          </w14:textFill>
        </w:rPr>
      </w:pPr>
      <w:r>
        <w:rPr>
          <w:rFonts w:hint="eastAsia" w:ascii="仿宋" w:hAnsi="仿宋" w:eastAsia="仿宋" w:cs="仿宋"/>
          <w:kern w:val="0"/>
          <w:sz w:val="32"/>
          <w:szCs w:val="32"/>
        </w:rPr>
        <w:t>二、</w:t>
      </w:r>
      <w:r>
        <w:rPr>
          <w:rFonts w:hint="eastAsia" w:ascii="仿宋" w:hAnsi="仿宋" w:eastAsia="仿宋" w:cs="仿宋"/>
          <w:sz w:val="32"/>
          <w:szCs w:val="30"/>
        </w:rPr>
        <w:t>2022年“三公”经费预算情况说明</w:t>
      </w:r>
    </w:p>
    <w:p>
      <w:pPr>
        <w:widowControl/>
        <w:spacing w:line="600" w:lineRule="exact"/>
        <w:ind w:firstLine="1280" w:firstLineChars="4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三、局本级及所属单位预算草案的具体说明</w:t>
      </w:r>
    </w:p>
    <w:p>
      <w:pPr>
        <w:widowControl/>
        <w:spacing w:line="600" w:lineRule="exact"/>
        <w:ind w:firstLine="640"/>
        <w:jc w:val="left"/>
        <w:rPr>
          <w:rFonts w:ascii="仿宋" w:hAnsi="仿宋" w:eastAsia="仿宋" w:cs="仿宋"/>
          <w:b/>
          <w:sz w:val="32"/>
          <w:szCs w:val="30"/>
        </w:rPr>
      </w:pPr>
      <w:r>
        <w:rPr>
          <w:rFonts w:hint="eastAsia" w:ascii="仿宋" w:hAnsi="仿宋" w:eastAsia="仿宋" w:cs="仿宋"/>
          <w:b/>
          <w:sz w:val="32"/>
          <w:szCs w:val="30"/>
        </w:rPr>
        <w:t>第三部分  南昌经济技术开发区城建事务中心2022年部门预算表</w:t>
      </w:r>
    </w:p>
    <w:p>
      <w:pPr>
        <w:pStyle w:val="6"/>
        <w:spacing w:line="600" w:lineRule="atLeast"/>
        <w:ind w:firstLine="1280"/>
        <w:jc w:val="left"/>
        <w:rPr>
          <w:rFonts w:ascii="仿宋" w:hAnsi="仿宋" w:eastAsia="仿宋" w:cs="仿宋"/>
          <w:kern w:val="2"/>
          <w:sz w:val="32"/>
          <w:szCs w:val="30"/>
        </w:rPr>
      </w:pPr>
      <w:r>
        <w:rPr>
          <w:rFonts w:hint="eastAsia" w:ascii="仿宋" w:hAnsi="仿宋" w:eastAsia="仿宋" w:cs="仿宋"/>
          <w:kern w:val="2"/>
          <w:sz w:val="32"/>
          <w:szCs w:val="30"/>
        </w:rPr>
        <w:t>一、《收支预算总表》</w:t>
      </w:r>
    </w:p>
    <w:p>
      <w:pPr>
        <w:pStyle w:val="6"/>
        <w:spacing w:line="600" w:lineRule="atLeast"/>
        <w:ind w:firstLine="1280"/>
        <w:jc w:val="left"/>
        <w:rPr>
          <w:rFonts w:ascii="仿宋" w:hAnsi="仿宋" w:eastAsia="仿宋" w:cs="仿宋"/>
          <w:kern w:val="2"/>
          <w:sz w:val="32"/>
          <w:szCs w:val="30"/>
        </w:rPr>
      </w:pPr>
      <w:r>
        <w:rPr>
          <w:rFonts w:hint="eastAsia" w:ascii="仿宋" w:hAnsi="仿宋" w:eastAsia="仿宋" w:cs="仿宋"/>
          <w:kern w:val="2"/>
          <w:sz w:val="32"/>
          <w:szCs w:val="30"/>
        </w:rPr>
        <w:t>二、《部门收入总表》</w:t>
      </w:r>
    </w:p>
    <w:p>
      <w:pPr>
        <w:pStyle w:val="6"/>
        <w:spacing w:line="600" w:lineRule="atLeast"/>
        <w:ind w:firstLine="1280"/>
        <w:jc w:val="left"/>
        <w:rPr>
          <w:rFonts w:ascii="仿宋" w:hAnsi="仿宋" w:eastAsia="仿宋" w:cs="仿宋"/>
          <w:kern w:val="2"/>
          <w:sz w:val="32"/>
          <w:szCs w:val="30"/>
        </w:rPr>
      </w:pPr>
      <w:r>
        <w:rPr>
          <w:rFonts w:hint="eastAsia" w:ascii="仿宋" w:hAnsi="仿宋" w:eastAsia="仿宋" w:cs="仿宋"/>
          <w:kern w:val="2"/>
          <w:sz w:val="32"/>
          <w:szCs w:val="30"/>
        </w:rPr>
        <w:t>三、《部门支出总表》</w:t>
      </w:r>
    </w:p>
    <w:p>
      <w:pPr>
        <w:pStyle w:val="6"/>
        <w:spacing w:line="600" w:lineRule="atLeast"/>
        <w:ind w:firstLine="1280"/>
        <w:jc w:val="left"/>
        <w:rPr>
          <w:rFonts w:ascii="仿宋" w:hAnsi="仿宋" w:eastAsia="仿宋" w:cs="仿宋"/>
          <w:kern w:val="2"/>
          <w:sz w:val="32"/>
          <w:szCs w:val="30"/>
        </w:rPr>
      </w:pPr>
      <w:r>
        <w:rPr>
          <w:rFonts w:hint="eastAsia" w:ascii="仿宋" w:hAnsi="仿宋" w:eastAsia="仿宋" w:cs="仿宋"/>
          <w:kern w:val="2"/>
          <w:sz w:val="32"/>
          <w:szCs w:val="30"/>
        </w:rPr>
        <w:t>四、《财政拨款收支总表》</w:t>
      </w:r>
    </w:p>
    <w:p>
      <w:pPr>
        <w:pStyle w:val="6"/>
        <w:spacing w:line="600" w:lineRule="atLeast"/>
        <w:ind w:firstLine="1280"/>
        <w:jc w:val="left"/>
        <w:rPr>
          <w:rFonts w:ascii="仿宋" w:hAnsi="仿宋" w:eastAsia="仿宋" w:cs="仿宋"/>
          <w:kern w:val="2"/>
          <w:sz w:val="32"/>
          <w:szCs w:val="30"/>
        </w:rPr>
      </w:pPr>
      <w:r>
        <w:rPr>
          <w:rFonts w:hint="eastAsia" w:ascii="仿宋" w:hAnsi="仿宋" w:eastAsia="仿宋" w:cs="仿宋"/>
          <w:kern w:val="2"/>
          <w:sz w:val="32"/>
          <w:szCs w:val="30"/>
        </w:rPr>
        <w:t>五、《一般公共预算支出表》</w:t>
      </w:r>
    </w:p>
    <w:p>
      <w:pPr>
        <w:pStyle w:val="6"/>
        <w:spacing w:line="600" w:lineRule="atLeast"/>
        <w:ind w:firstLine="1280"/>
        <w:jc w:val="left"/>
        <w:rPr>
          <w:rFonts w:ascii="仿宋" w:hAnsi="仿宋" w:eastAsia="仿宋" w:cs="仿宋"/>
          <w:kern w:val="2"/>
          <w:sz w:val="32"/>
          <w:szCs w:val="30"/>
        </w:rPr>
      </w:pPr>
      <w:r>
        <w:rPr>
          <w:rFonts w:hint="eastAsia" w:ascii="仿宋" w:hAnsi="仿宋" w:eastAsia="仿宋" w:cs="仿宋"/>
          <w:kern w:val="2"/>
          <w:sz w:val="32"/>
          <w:szCs w:val="30"/>
        </w:rPr>
        <w:t>六、《一般公共预算基本支出表》</w:t>
      </w:r>
    </w:p>
    <w:p>
      <w:pPr>
        <w:pStyle w:val="6"/>
        <w:spacing w:line="600" w:lineRule="atLeast"/>
        <w:ind w:firstLine="1280"/>
        <w:jc w:val="left"/>
        <w:rPr>
          <w:rFonts w:ascii="仿宋" w:hAnsi="仿宋" w:eastAsia="仿宋" w:cs="仿宋"/>
          <w:kern w:val="2"/>
          <w:sz w:val="32"/>
          <w:szCs w:val="30"/>
        </w:rPr>
      </w:pPr>
      <w:r>
        <w:rPr>
          <w:rFonts w:hint="eastAsia" w:ascii="仿宋" w:hAnsi="仿宋" w:eastAsia="仿宋" w:cs="仿宋"/>
          <w:kern w:val="2"/>
          <w:sz w:val="32"/>
          <w:szCs w:val="30"/>
        </w:rPr>
        <w:t>七、《一般公共预算“三公”经费支出表》</w:t>
      </w:r>
    </w:p>
    <w:p>
      <w:pPr>
        <w:pStyle w:val="6"/>
        <w:spacing w:line="600" w:lineRule="atLeast"/>
        <w:ind w:firstLine="1280"/>
        <w:jc w:val="left"/>
        <w:rPr>
          <w:rFonts w:ascii="仿宋" w:hAnsi="仿宋" w:eastAsia="仿宋" w:cs="仿宋"/>
          <w:kern w:val="2"/>
          <w:sz w:val="32"/>
          <w:szCs w:val="30"/>
        </w:rPr>
      </w:pPr>
      <w:r>
        <w:rPr>
          <w:rFonts w:hint="eastAsia" w:ascii="仿宋" w:hAnsi="仿宋" w:eastAsia="仿宋" w:cs="仿宋"/>
          <w:kern w:val="2"/>
          <w:sz w:val="32"/>
          <w:szCs w:val="30"/>
        </w:rPr>
        <w:t>八、《政府性基金预算支出表》</w:t>
      </w:r>
    </w:p>
    <w:p>
      <w:pPr>
        <w:pStyle w:val="6"/>
        <w:tabs>
          <w:tab w:val="left" w:pos="6546"/>
        </w:tabs>
        <w:spacing w:line="600" w:lineRule="atLeast"/>
        <w:ind w:firstLine="1280"/>
        <w:jc w:val="left"/>
        <w:rPr>
          <w:rFonts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九、《国有资本经营预算支出表》</w:t>
      </w:r>
      <w:r>
        <w:rPr>
          <w:rFonts w:hint="eastAsia" w:ascii="仿宋" w:hAnsi="仿宋" w:eastAsia="仿宋" w:cs="仿宋"/>
          <w:color w:val="000000" w:themeColor="text1"/>
          <w:kern w:val="2"/>
          <w:sz w:val="32"/>
          <w:szCs w:val="30"/>
          <w14:textFill>
            <w14:solidFill>
              <w14:schemeClr w14:val="tx1"/>
            </w14:solidFill>
          </w14:textFill>
        </w:rPr>
        <w:tab/>
      </w:r>
    </w:p>
    <w:p>
      <w:pPr>
        <w:pStyle w:val="6"/>
        <w:tabs>
          <w:tab w:val="left" w:pos="6546"/>
        </w:tabs>
        <w:spacing w:line="600" w:lineRule="atLeast"/>
        <w:ind w:firstLine="1280"/>
        <w:jc w:val="left"/>
        <w:rPr>
          <w:rFonts w:ascii="仿宋" w:hAnsi="仿宋" w:eastAsia="仿宋" w:cs="仿宋"/>
          <w:color w:val="000000" w:themeColor="text1"/>
          <w:kern w:val="2"/>
          <w:sz w:val="32"/>
          <w:szCs w:val="30"/>
          <w14:textFill>
            <w14:solidFill>
              <w14:schemeClr w14:val="tx1"/>
            </w14:solidFill>
          </w14:textFill>
        </w:rPr>
      </w:pPr>
      <w:r>
        <w:rPr>
          <w:rFonts w:hint="eastAsia" w:ascii="仿宋" w:hAnsi="仿宋" w:eastAsia="仿宋" w:cs="仿宋"/>
          <w:color w:val="000000" w:themeColor="text1"/>
          <w:kern w:val="2"/>
          <w:sz w:val="32"/>
          <w:szCs w:val="30"/>
          <w14:textFill>
            <w14:solidFill>
              <w14:schemeClr w14:val="tx1"/>
            </w14:solidFill>
          </w14:textFill>
        </w:rPr>
        <w:t>十、《部门整体支出绩效目标表》</w:t>
      </w:r>
    </w:p>
    <w:p>
      <w:pPr>
        <w:pStyle w:val="6"/>
        <w:tabs>
          <w:tab w:val="left" w:pos="6546"/>
        </w:tabs>
        <w:spacing w:line="600" w:lineRule="atLeast"/>
        <w:ind w:firstLine="1280"/>
        <w:jc w:val="left"/>
        <w:rPr>
          <w:rFonts w:ascii="仿宋" w:hAnsi="仿宋" w:eastAsia="仿宋" w:cs="仿宋"/>
          <w:color w:val="FF0000"/>
          <w:sz w:val="32"/>
          <w:szCs w:val="30"/>
        </w:rPr>
      </w:pPr>
      <w:r>
        <w:rPr>
          <w:rFonts w:hint="eastAsia" w:ascii="仿宋" w:hAnsi="仿宋" w:eastAsia="仿宋" w:cs="仿宋"/>
          <w:kern w:val="2"/>
          <w:sz w:val="32"/>
          <w:szCs w:val="30"/>
        </w:rPr>
        <w:t>十一、《项目绩效目标表》</w:t>
      </w:r>
    </w:p>
    <w:p>
      <w:pPr>
        <w:widowControl/>
        <w:spacing w:line="600" w:lineRule="exact"/>
        <w:ind w:firstLine="640"/>
        <w:jc w:val="left"/>
        <w:rPr>
          <w:rFonts w:ascii="仿宋" w:hAnsi="仿宋" w:eastAsia="仿宋" w:cs="仿宋"/>
          <w:b/>
          <w:sz w:val="32"/>
          <w:szCs w:val="30"/>
        </w:rPr>
      </w:pPr>
      <w:r>
        <w:rPr>
          <w:rFonts w:hint="eastAsia" w:ascii="仿宋" w:hAnsi="仿宋" w:eastAsia="仿宋" w:cs="仿宋"/>
          <w:b/>
          <w:sz w:val="32"/>
          <w:szCs w:val="30"/>
        </w:rPr>
        <w:t>第四部分  名词解释</w:t>
      </w:r>
    </w:p>
    <w:p>
      <w:pPr>
        <w:widowControl/>
        <w:spacing w:line="600" w:lineRule="exact"/>
        <w:ind w:firstLine="640"/>
        <w:jc w:val="left"/>
        <w:rPr>
          <w:rFonts w:ascii="仿宋_GB2312" w:eastAsia="仿宋_GB2312"/>
          <w:b/>
          <w:sz w:val="32"/>
          <w:szCs w:val="30"/>
        </w:rPr>
      </w:pPr>
    </w:p>
    <w:p>
      <w:pPr>
        <w:widowControl/>
        <w:spacing w:line="580" w:lineRule="exact"/>
        <w:jc w:val="center"/>
        <w:rPr>
          <w:rFonts w:ascii="黑体" w:hAnsi="黑体" w:eastAsia="黑体" w:cs="黑体"/>
          <w:b/>
          <w:sz w:val="32"/>
          <w:szCs w:val="30"/>
        </w:rPr>
      </w:pPr>
      <w:r>
        <w:rPr>
          <w:rFonts w:hint="eastAsia" w:ascii="黑体" w:hAnsi="黑体" w:eastAsia="黑体" w:cs="黑体"/>
          <w:b/>
          <w:sz w:val="32"/>
          <w:szCs w:val="30"/>
        </w:rPr>
        <w:t>第一部分  南昌经济技术开发区城建事务中心概况</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ascii="楷体" w:hAnsi="楷体" w:eastAsia="楷体" w:cs="楷体"/>
          <w:b/>
          <w:sz w:val="32"/>
          <w:szCs w:val="30"/>
        </w:rPr>
      </w:pPr>
      <w:r>
        <w:rPr>
          <w:rFonts w:hint="eastAsia" w:ascii="楷体" w:hAnsi="楷体" w:eastAsia="楷体" w:cs="楷体"/>
          <w:b/>
          <w:sz w:val="32"/>
          <w:szCs w:val="30"/>
        </w:rPr>
        <w:t>一、部门主要职责</w:t>
      </w:r>
    </w:p>
    <w:p>
      <w:pPr>
        <w:widowControl/>
        <w:spacing w:line="600" w:lineRule="exact"/>
        <w:ind w:firstLine="640"/>
        <w:jc w:val="left"/>
        <w:rPr>
          <w:rFonts w:ascii="仿宋" w:hAnsi="仿宋" w:eastAsia="仿宋" w:cs="仿宋"/>
          <w:sz w:val="32"/>
          <w:szCs w:val="30"/>
        </w:rPr>
      </w:pPr>
      <w:r>
        <w:rPr>
          <w:rFonts w:ascii="仿宋" w:hAnsi="仿宋" w:eastAsia="仿宋" w:cs="仿宋"/>
          <w:sz w:val="32"/>
          <w:szCs w:val="30"/>
        </w:rPr>
        <w:t>（1）承担土地收储前期、用地情况、交地工作等技术支撑工作；</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（2）承担经营性用地出让、闲置土地清理、城镇低效用地再开发、土地勘测定界、青苗（含坟墓）补偿核定等行政辅助工作；</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（3）承担组织第三方专业机构进行土壤污染状况调查、 国有资产拍卖等行政辅助工作；</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（4）承担房屋建筑和市政基础设施工程招标投标政策解读、市场调研、数据应用等技术支撑工作；</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（5）承担招标备案等行政辅助工作；</w:t>
      </w:r>
    </w:p>
    <w:p>
      <w:pPr>
        <w:widowControl/>
        <w:spacing w:line="600" w:lineRule="exact"/>
        <w:ind w:firstLine="640"/>
        <w:rPr>
          <w:rFonts w:ascii="仿宋" w:hAnsi="仿宋" w:eastAsia="仿宋" w:cs="仿宋"/>
          <w:sz w:val="32"/>
          <w:szCs w:val="30"/>
        </w:rPr>
      </w:pPr>
      <w:r>
        <w:rPr>
          <w:rFonts w:hint="eastAsia" w:ascii="仿宋" w:hAnsi="仿宋" w:eastAsia="仿宋" w:cs="仿宋"/>
          <w:sz w:val="32"/>
          <w:szCs w:val="30"/>
        </w:rPr>
        <w:t>（6）承担房屋建筑和市政基础设施工程质量、安全、文明施工、扬尘治理和安全事故调查等行政辅助工作；</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（7）承担编制房屋征收补偿方案、房屋大量摸底、资金概算、资产评估等技术支撑工作；</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（8）承担对征收范围内房屋的调查摸底、权属证明注销、房屋拆除、下达镇处年度房屋征收计划、镇处房屋征收等行政辅助工作；</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（9）承担工程建设项目的跟踪、协调等服务工作，优化资源配置，加快园区内市政基础设施和安置房、标准厂房等项目建设；</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（10）承担建设项目消防设计审查、验收专家评审和第三方评估等行政辅助工作；</w:t>
      </w:r>
    </w:p>
    <w:p>
      <w:pPr>
        <w:widowControl/>
        <w:spacing w:line="600" w:lineRule="exact"/>
        <w:ind w:firstLine="640"/>
        <w:jc w:val="left"/>
        <w:rPr>
          <w:rFonts w:ascii="仿宋" w:hAnsi="仿宋" w:eastAsia="仿宋" w:cs="仿宋"/>
          <w:sz w:val="32"/>
          <w:szCs w:val="30"/>
        </w:rPr>
      </w:pPr>
      <w:r>
        <w:rPr>
          <w:rFonts w:hint="eastAsia" w:ascii="仿宋" w:hAnsi="仿宋" w:eastAsia="仿宋" w:cs="仿宋"/>
          <w:sz w:val="32"/>
          <w:szCs w:val="30"/>
        </w:rPr>
        <w:t>（11）承担房建筑和市政基础设施建设项目施工许可行政辅助工作。</w:t>
      </w:r>
    </w:p>
    <w:p>
      <w:pPr>
        <w:widowControl/>
        <w:spacing w:line="580" w:lineRule="exact"/>
        <w:ind w:firstLine="640"/>
        <w:jc w:val="left"/>
        <w:rPr>
          <w:rFonts w:ascii="楷体" w:hAnsi="楷体" w:eastAsia="楷体" w:cs="楷体"/>
          <w:b/>
          <w:kern w:val="0"/>
          <w:sz w:val="32"/>
          <w:szCs w:val="32"/>
        </w:rPr>
      </w:pPr>
      <w:r>
        <w:rPr>
          <w:rFonts w:hint="eastAsia" w:ascii="楷体" w:hAnsi="楷体" w:eastAsia="楷体" w:cs="楷体"/>
          <w:b/>
          <w:kern w:val="0"/>
          <w:sz w:val="32"/>
          <w:szCs w:val="32"/>
        </w:rPr>
        <w:t>二、部门基本情况</w:t>
      </w:r>
    </w:p>
    <w:p>
      <w:pPr>
        <w:widowControl/>
        <w:spacing w:line="600" w:lineRule="exact"/>
        <w:ind w:firstLine="64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我中心人员编制为16人，岗位人数16人，退休1人，聘用18人，人才派遣0人，临时工0人</w:t>
      </w:r>
      <w:r>
        <w:rPr>
          <w:rFonts w:hint="eastAsia" w:ascii="仿宋" w:hAnsi="仿宋" w:eastAsia="仿宋" w:cs="仿宋"/>
          <w:kern w:val="0"/>
          <w:sz w:val="32"/>
          <w:szCs w:val="32"/>
          <w:lang w:eastAsia="zh-CN"/>
        </w:rPr>
        <w:t>。单位为二级预算单位，其中行政单位</w:t>
      </w:r>
      <w:r>
        <w:rPr>
          <w:rFonts w:hint="eastAsia" w:ascii="仿宋" w:hAnsi="仿宋" w:eastAsia="仿宋" w:cs="仿宋"/>
          <w:kern w:val="0"/>
          <w:sz w:val="32"/>
          <w:szCs w:val="32"/>
          <w:lang w:val="en-US" w:eastAsia="zh-CN"/>
        </w:rPr>
        <w:t>0个，参照公务员管理的事业单位0个，全额拨款事业单位1个：城建事务中心。</w:t>
      </w:r>
    </w:p>
    <w:p>
      <w:pPr>
        <w:widowControl/>
        <w:spacing w:line="600" w:lineRule="exact"/>
        <w:jc w:val="left"/>
        <w:rPr>
          <w:rFonts w:ascii="仿宋" w:hAnsi="仿宋" w:eastAsia="仿宋" w:cs="仿宋"/>
          <w:kern w:val="0"/>
          <w:sz w:val="32"/>
          <w:szCs w:val="32"/>
        </w:rPr>
      </w:pPr>
    </w:p>
    <w:p>
      <w:pPr>
        <w:widowControl/>
        <w:numPr>
          <w:ilvl w:val="0"/>
          <w:numId w:val="1"/>
        </w:numPr>
        <w:spacing w:line="580" w:lineRule="exact"/>
        <w:jc w:val="center"/>
        <w:rPr>
          <w:rFonts w:ascii="黑体" w:hAnsi="黑体" w:eastAsia="黑体" w:cs="黑体"/>
          <w:b/>
          <w:sz w:val="32"/>
          <w:szCs w:val="30"/>
        </w:rPr>
      </w:pPr>
      <w:r>
        <w:rPr>
          <w:rFonts w:hint="eastAsia" w:ascii="黑体" w:hAnsi="黑体" w:eastAsia="黑体" w:cs="黑体"/>
          <w:b/>
          <w:sz w:val="32"/>
          <w:szCs w:val="30"/>
        </w:rPr>
        <w:t>南昌经济技术开发区城建事务中心2022年</w:t>
      </w:r>
    </w:p>
    <w:p>
      <w:pPr>
        <w:widowControl/>
        <w:spacing w:line="580" w:lineRule="exact"/>
        <w:jc w:val="center"/>
        <w:rPr>
          <w:rFonts w:ascii="黑体" w:hAnsi="黑体" w:eastAsia="黑体" w:cs="黑体"/>
          <w:b/>
          <w:sz w:val="32"/>
          <w:szCs w:val="30"/>
        </w:rPr>
      </w:pPr>
      <w:r>
        <w:rPr>
          <w:rFonts w:hint="eastAsia" w:ascii="黑体" w:hAnsi="黑体" w:eastAsia="黑体" w:cs="黑体"/>
          <w:b/>
          <w:sz w:val="32"/>
          <w:szCs w:val="30"/>
        </w:rPr>
        <w:t>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 w:hAnsi="楷体" w:eastAsia="楷体" w:cs="楷体"/>
          <w:b/>
          <w:sz w:val="32"/>
          <w:szCs w:val="32"/>
        </w:rPr>
      </w:pPr>
      <w:r>
        <w:rPr>
          <w:rFonts w:hint="eastAsia" w:ascii="楷体" w:hAnsi="楷体" w:eastAsia="楷体" w:cs="楷体"/>
          <w:b/>
          <w:sz w:val="32"/>
          <w:szCs w:val="32"/>
        </w:rPr>
        <w:t>一、2022年部门预算收支情况说明</w:t>
      </w:r>
    </w:p>
    <w:p>
      <w:pPr>
        <w:widowControl/>
        <w:spacing w:line="580" w:lineRule="exact"/>
        <w:ind w:firstLine="640"/>
        <w:jc w:val="left"/>
        <w:rPr>
          <w:rFonts w:ascii="仿宋" w:hAnsi="仿宋" w:eastAsia="仿宋" w:cs="仿宋"/>
          <w:b/>
          <w:sz w:val="32"/>
          <w:szCs w:val="32"/>
        </w:rPr>
      </w:pPr>
      <w:r>
        <w:rPr>
          <w:rFonts w:hint="eastAsia" w:ascii="仿宋" w:hAnsi="仿宋" w:eastAsia="仿宋" w:cs="仿宋"/>
          <w:b/>
          <w:sz w:val="32"/>
          <w:szCs w:val="32"/>
        </w:rPr>
        <w:t>（一）收入预算情况</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2022年区城建事务中心收入预算总额为688.52万元，比上年增加（减少）29.03万元，下降4%，主要是减少了人员与压减公用经费支出。其中：财政拨款收入688.52万元；事业单位经营收入0万元；其他收入0万元；上级补助收入0万元。</w:t>
      </w:r>
    </w:p>
    <w:p>
      <w:pPr>
        <w:widowControl/>
        <w:spacing w:line="580" w:lineRule="exact"/>
        <w:ind w:firstLine="640"/>
        <w:jc w:val="left"/>
        <w:rPr>
          <w:rFonts w:ascii="仿宋" w:hAnsi="仿宋" w:eastAsia="仿宋" w:cs="仿宋"/>
          <w:b/>
          <w:sz w:val="32"/>
          <w:szCs w:val="32"/>
        </w:rPr>
      </w:pPr>
      <w:r>
        <w:rPr>
          <w:rFonts w:hint="eastAsia" w:ascii="仿宋" w:hAnsi="仿宋" w:eastAsia="仿宋" w:cs="仿宋"/>
          <w:b/>
          <w:sz w:val="32"/>
          <w:szCs w:val="32"/>
        </w:rPr>
        <w:t>（二）支出预算情况</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2022年区城建事务中心支出预算总额为688.52万元，比上年减少29.03万元，下降4%，主要是减少了人员与压减公用经费支出。</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其中：按支出项目类别划分：基本支出650.62万元，包括工资福利支出3.93万元、日常公用支出32.5万元、对个人和家庭的补助0万元；项目支出0万元。</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按支出功能科目划分：行政运行支出37.9万元；建设市场管理与监督支出553.75万元；住房</w:t>
      </w:r>
      <w:r>
        <w:rPr>
          <w:rFonts w:hint="eastAsia" w:ascii="仿宋" w:hAnsi="仿宋" w:eastAsia="仿宋" w:cs="仿宋"/>
          <w:sz w:val="32"/>
          <w:szCs w:val="32"/>
          <w:lang w:eastAsia="zh-CN"/>
        </w:rPr>
        <w:t>公积金</w:t>
      </w:r>
      <w:r>
        <w:rPr>
          <w:rFonts w:hint="eastAsia" w:ascii="仿宋" w:hAnsi="仿宋" w:eastAsia="仿宋" w:cs="仿宋"/>
          <w:sz w:val="32"/>
          <w:szCs w:val="32"/>
        </w:rPr>
        <w:t>支出96.88万元。</w:t>
      </w:r>
      <w:r>
        <w:rPr>
          <w:rFonts w:ascii="仿宋" w:hAnsi="仿宋" w:eastAsia="仿宋" w:cs="仿宋"/>
          <w:sz w:val="32"/>
          <w:szCs w:val="32"/>
        </w:rPr>
        <w:t xml:space="preserve"> </w:t>
      </w:r>
    </w:p>
    <w:p>
      <w:pPr>
        <w:widowControl/>
        <w:spacing w:line="580" w:lineRule="exact"/>
        <w:ind w:firstLine="64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按支出经济分类划分：含</w:t>
      </w:r>
      <w:r>
        <w:rPr>
          <w:rFonts w:hint="eastAsia" w:ascii="仿宋" w:hAnsi="仿宋" w:eastAsia="仿宋" w:cs="仿宋"/>
          <w:color w:val="auto"/>
          <w:sz w:val="32"/>
          <w:szCs w:val="32"/>
          <w:highlight w:val="none"/>
          <w:lang w:eastAsia="zh-CN"/>
        </w:rPr>
        <w:t>基本工资支出</w:t>
      </w:r>
      <w:r>
        <w:rPr>
          <w:rFonts w:hint="eastAsia" w:ascii="仿宋" w:hAnsi="仿宋" w:eastAsia="仿宋" w:cs="仿宋"/>
          <w:sz w:val="32"/>
          <w:szCs w:val="32"/>
          <w:lang w:val="en-US" w:eastAsia="zh-CN"/>
        </w:rPr>
        <w:t>412.50</w:t>
      </w:r>
      <w:r>
        <w:rPr>
          <w:rFonts w:hint="eastAsia" w:ascii="仿宋" w:hAnsi="仿宋" w:eastAsia="仿宋" w:cs="仿宋"/>
          <w:sz w:val="32"/>
          <w:szCs w:val="32"/>
          <w:lang w:eastAsia="zh-CN"/>
        </w:rPr>
        <w:t>万元</w:t>
      </w:r>
      <w:r>
        <w:rPr>
          <w:rFonts w:hint="eastAsia" w:ascii="仿宋" w:hAnsi="仿宋" w:eastAsia="仿宋" w:cs="仿宋"/>
          <w:sz w:val="32"/>
          <w:szCs w:val="32"/>
        </w:rPr>
        <w:t>；</w:t>
      </w:r>
      <w:r>
        <w:rPr>
          <w:rFonts w:hint="eastAsia" w:ascii="仿宋" w:hAnsi="仿宋" w:eastAsia="仿宋" w:cs="仿宋"/>
          <w:sz w:val="32"/>
          <w:szCs w:val="32"/>
          <w:lang w:val="en-US" w:eastAsia="zh-CN"/>
        </w:rPr>
        <w:t>津贴补贴支出0.17万元，奖金支出3.64万元，机关事业单位基本养老保险支出40.61万元，职业年金缴费支出9.11万元，职工基本医疗保险缴费支出86万元，其他社会保障缴费支出1.6万元，</w:t>
      </w:r>
      <w:r>
        <w:rPr>
          <w:rFonts w:hint="eastAsia" w:ascii="仿宋" w:hAnsi="仿宋" w:eastAsia="仿宋" w:cs="仿宋"/>
          <w:color w:val="auto"/>
          <w:sz w:val="32"/>
          <w:szCs w:val="32"/>
          <w:highlight w:val="none"/>
        </w:rPr>
        <w:t>住房公积金支出9</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8</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lang w:eastAsia="zh-CN"/>
        </w:rPr>
        <w:t>万</w:t>
      </w:r>
      <w:r>
        <w:rPr>
          <w:rFonts w:hint="eastAsia" w:ascii="仿宋" w:hAnsi="仿宋" w:eastAsia="仿宋" w:cs="仿宋"/>
          <w:color w:val="auto"/>
          <w:sz w:val="32"/>
          <w:szCs w:val="32"/>
          <w:highlight w:val="none"/>
        </w:rPr>
        <w:t>元；</w:t>
      </w:r>
      <w:r>
        <w:rPr>
          <w:rFonts w:hint="eastAsia" w:ascii="仿宋" w:hAnsi="仿宋" w:eastAsia="仿宋" w:cs="仿宋"/>
          <w:sz w:val="32"/>
          <w:szCs w:val="32"/>
        </w:rPr>
        <w:t>办公费</w:t>
      </w:r>
      <w:r>
        <w:rPr>
          <w:rFonts w:hint="eastAsia" w:ascii="仿宋" w:hAnsi="仿宋" w:eastAsia="仿宋" w:cs="仿宋"/>
          <w:sz w:val="32"/>
          <w:szCs w:val="32"/>
          <w:lang w:eastAsia="zh-CN"/>
        </w:rPr>
        <w:t>支出</w:t>
      </w:r>
      <w:r>
        <w:rPr>
          <w:rFonts w:hint="eastAsia" w:ascii="仿宋" w:hAnsi="仿宋" w:eastAsia="仿宋" w:cs="仿宋"/>
          <w:sz w:val="32"/>
          <w:szCs w:val="32"/>
        </w:rPr>
        <w:t>17</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差旅费</w:t>
      </w:r>
      <w:r>
        <w:rPr>
          <w:rFonts w:hint="eastAsia" w:ascii="仿宋" w:hAnsi="仿宋" w:eastAsia="仿宋" w:cs="仿宋"/>
          <w:sz w:val="32"/>
          <w:szCs w:val="32"/>
          <w:lang w:eastAsia="zh-CN"/>
        </w:rPr>
        <w:t>支出</w:t>
      </w:r>
      <w:r>
        <w:rPr>
          <w:rFonts w:hint="eastAsia" w:ascii="仿宋" w:hAnsi="仿宋" w:eastAsia="仿宋" w:cs="仿宋"/>
          <w:sz w:val="32"/>
          <w:szCs w:val="32"/>
        </w:rPr>
        <w:t>8</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专用材料费</w:t>
      </w:r>
      <w:r>
        <w:rPr>
          <w:rFonts w:hint="eastAsia" w:ascii="仿宋" w:hAnsi="仿宋" w:eastAsia="仿宋" w:cs="仿宋"/>
          <w:sz w:val="32"/>
          <w:szCs w:val="32"/>
          <w:lang w:eastAsia="zh-CN"/>
        </w:rPr>
        <w:t>支出</w:t>
      </w:r>
      <w:r>
        <w:rPr>
          <w:rFonts w:hint="eastAsia" w:ascii="仿宋" w:hAnsi="仿宋" w:eastAsia="仿宋" w:cs="仿宋"/>
          <w:sz w:val="32"/>
          <w:szCs w:val="32"/>
        </w:rPr>
        <w:t>4</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公务接待费</w:t>
      </w:r>
      <w:r>
        <w:rPr>
          <w:rFonts w:hint="eastAsia" w:ascii="仿宋" w:hAnsi="仿宋" w:eastAsia="仿宋" w:cs="仿宋"/>
          <w:sz w:val="32"/>
          <w:szCs w:val="32"/>
          <w:lang w:eastAsia="zh-CN"/>
        </w:rPr>
        <w:t>支出</w:t>
      </w:r>
      <w:r>
        <w:rPr>
          <w:rFonts w:hint="eastAsia" w:ascii="仿宋" w:hAnsi="仿宋" w:eastAsia="仿宋" w:cs="仿宋"/>
          <w:sz w:val="32"/>
          <w:szCs w:val="32"/>
        </w:rPr>
        <w:t>1</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；公务用车运行维护费支出</w:t>
      </w:r>
      <w:r>
        <w:rPr>
          <w:rFonts w:hint="eastAsia" w:ascii="仿宋" w:hAnsi="仿宋" w:eastAsia="仿宋" w:cs="仿宋"/>
          <w:sz w:val="32"/>
          <w:szCs w:val="32"/>
          <w:lang w:val="en-US" w:eastAsia="zh-CN"/>
        </w:rPr>
        <w:t>5.4万元</w:t>
      </w:r>
      <w:r>
        <w:rPr>
          <w:rFonts w:hint="eastAsia" w:ascii="仿宋" w:hAnsi="仿宋" w:eastAsia="仿宋" w:cs="仿宋"/>
          <w:sz w:val="32"/>
          <w:szCs w:val="32"/>
          <w:lang w:eastAsia="zh-CN"/>
        </w:rPr>
        <w:t>；</w:t>
      </w:r>
      <w:r>
        <w:rPr>
          <w:rFonts w:hint="eastAsia" w:ascii="仿宋" w:hAnsi="仿宋" w:eastAsia="仿宋" w:cs="仿宋"/>
          <w:sz w:val="32"/>
          <w:szCs w:val="32"/>
        </w:rPr>
        <w:t>其他商品和服务支出2</w:t>
      </w:r>
      <w:r>
        <w:rPr>
          <w:rFonts w:hint="eastAsia" w:ascii="仿宋" w:hAnsi="仿宋" w:eastAsia="仿宋" w:cs="仿宋"/>
          <w:sz w:val="32"/>
          <w:szCs w:val="32"/>
          <w:lang w:val="en-US" w:eastAsia="zh-CN"/>
        </w:rPr>
        <w:t>.</w:t>
      </w:r>
      <w:r>
        <w:rPr>
          <w:rFonts w:hint="eastAsia" w:ascii="仿宋" w:hAnsi="仿宋" w:eastAsia="仿宋" w:cs="仿宋"/>
          <w:sz w:val="32"/>
          <w:szCs w:val="32"/>
        </w:rPr>
        <w:t>5</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color w:val="auto"/>
          <w:sz w:val="32"/>
          <w:szCs w:val="32"/>
          <w:highlight w:val="none"/>
          <w:lang w:eastAsia="zh-CN"/>
        </w:rPr>
        <w:t>；生活补助支出</w:t>
      </w:r>
      <w:r>
        <w:rPr>
          <w:rFonts w:hint="eastAsia" w:ascii="仿宋" w:hAnsi="仿宋" w:eastAsia="仿宋" w:cs="仿宋"/>
          <w:color w:val="auto"/>
          <w:sz w:val="32"/>
          <w:szCs w:val="32"/>
          <w:highlight w:val="none"/>
          <w:lang w:val="en-US" w:eastAsia="zh-CN"/>
        </w:rPr>
        <w:t>0.12万元。</w:t>
      </w:r>
      <w:bookmarkStart w:id="0" w:name="_GoBack"/>
      <w:bookmarkEnd w:id="0"/>
    </w:p>
    <w:p>
      <w:pPr>
        <w:widowControl/>
        <w:spacing w:line="580" w:lineRule="exact"/>
        <w:ind w:firstLine="640"/>
        <w:rPr>
          <w:rFonts w:ascii="仿宋" w:hAnsi="仿宋" w:eastAsia="仿宋" w:cs="仿宋"/>
          <w:b/>
          <w:sz w:val="32"/>
          <w:szCs w:val="32"/>
        </w:rPr>
      </w:pPr>
      <w:r>
        <w:rPr>
          <w:rFonts w:hint="eastAsia" w:ascii="仿宋" w:hAnsi="仿宋" w:eastAsia="仿宋" w:cs="仿宋"/>
          <w:b/>
          <w:sz w:val="32"/>
          <w:szCs w:val="32"/>
        </w:rPr>
        <w:t>（三）财政拨款支出情况</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2022年去城建事务中心财政拨款支出预算688.52万元，较上年减少29.03万元，下降4%，主要是减少了人员与压减公用经费支出。具体支出情况是：行政运行支出37.9万元，占支出预算总额的5.5%；建设市场管理与监督支出553.75万元占支出预算总额的80.4%；住房</w:t>
      </w:r>
      <w:r>
        <w:rPr>
          <w:rFonts w:hint="eastAsia" w:ascii="仿宋" w:hAnsi="仿宋" w:eastAsia="仿宋" w:cs="仿宋"/>
          <w:sz w:val="32"/>
          <w:szCs w:val="32"/>
          <w:lang w:eastAsia="zh-CN"/>
        </w:rPr>
        <w:t>公积金</w:t>
      </w:r>
      <w:r>
        <w:rPr>
          <w:rFonts w:hint="eastAsia" w:ascii="仿宋" w:hAnsi="仿宋" w:eastAsia="仿宋" w:cs="仿宋"/>
          <w:sz w:val="32"/>
          <w:szCs w:val="32"/>
        </w:rPr>
        <w:t>支出96.88万元，占支出预算总额的14.1%。</w:t>
      </w:r>
    </w:p>
    <w:p>
      <w:pPr>
        <w:widowControl/>
        <w:spacing w:line="580" w:lineRule="exact"/>
        <w:ind w:firstLine="640"/>
        <w:jc w:val="left"/>
        <w:rPr>
          <w:rFonts w:ascii="仿宋" w:hAnsi="仿宋" w:eastAsia="仿宋" w:cs="仿宋"/>
          <w:b/>
          <w:sz w:val="32"/>
          <w:szCs w:val="32"/>
        </w:rPr>
      </w:pPr>
      <w:r>
        <w:rPr>
          <w:rFonts w:hint="eastAsia" w:ascii="仿宋" w:hAnsi="仿宋" w:eastAsia="仿宋" w:cs="仿宋"/>
          <w:b/>
          <w:sz w:val="32"/>
          <w:szCs w:val="32"/>
        </w:rPr>
        <w:t>（四）政府性基金情况</w:t>
      </w:r>
    </w:p>
    <w:p>
      <w:pPr>
        <w:ind w:firstLine="640" w:firstLineChars="200"/>
        <w:rPr>
          <w:rFonts w:ascii="Adobe 仿宋 Std R" w:hAnsi="Adobe 仿宋 Std R" w:eastAsia="Adobe 仿宋 Std R"/>
          <w:sz w:val="32"/>
          <w:szCs w:val="32"/>
        </w:rPr>
      </w:pPr>
      <w:r>
        <w:rPr>
          <w:rStyle w:val="7"/>
          <w:rFonts w:hint="eastAsia" w:ascii="仿宋" w:hAnsi="仿宋" w:eastAsia="仿宋"/>
          <w:sz w:val="32"/>
          <w:szCs w:val="32"/>
        </w:rPr>
        <w:t>本部门2</w:t>
      </w:r>
      <w:r>
        <w:rPr>
          <w:rStyle w:val="7"/>
          <w:rFonts w:ascii="仿宋" w:hAnsi="仿宋" w:eastAsia="仿宋"/>
          <w:sz w:val="32"/>
          <w:szCs w:val="32"/>
        </w:rPr>
        <w:t>022</w:t>
      </w:r>
      <w:r>
        <w:rPr>
          <w:rStyle w:val="7"/>
          <w:rFonts w:hint="eastAsia" w:ascii="仿宋" w:hAnsi="仿宋" w:eastAsia="仿宋"/>
          <w:sz w:val="32"/>
          <w:szCs w:val="32"/>
        </w:rPr>
        <w:t>年没有使用政府性基金预算拨款安排的支出</w:t>
      </w:r>
      <w:r>
        <w:rPr>
          <w:rFonts w:hint="eastAsia" w:ascii="Adobe 仿宋 Std R" w:hAnsi="Adobe 仿宋 Std R" w:eastAsia="Adobe 仿宋 Std R"/>
          <w:sz w:val="32"/>
          <w:szCs w:val="32"/>
        </w:rPr>
        <w:t>。</w:t>
      </w:r>
    </w:p>
    <w:p>
      <w:pPr>
        <w:ind w:firstLine="643" w:firstLineChars="2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（五）国有资本经营情况</w:t>
      </w:r>
    </w:p>
    <w:p>
      <w:pPr>
        <w:ind w:firstLine="640" w:firstLineChars="200"/>
        <w:rPr>
          <w:rStyle w:val="7"/>
          <w:rFonts w:ascii="仿宋" w:hAnsi="仿宋" w:eastAsia="仿宋"/>
          <w:sz w:val="32"/>
          <w:szCs w:val="32"/>
        </w:rPr>
      </w:pPr>
      <w:r>
        <w:rPr>
          <w:rStyle w:val="7"/>
          <w:rFonts w:hint="eastAsia" w:ascii="仿宋" w:hAnsi="仿宋" w:eastAsia="仿宋"/>
          <w:sz w:val="32"/>
          <w:szCs w:val="32"/>
        </w:rPr>
        <w:t>本部门2</w:t>
      </w:r>
      <w:r>
        <w:rPr>
          <w:rStyle w:val="7"/>
          <w:rFonts w:ascii="仿宋" w:hAnsi="仿宋" w:eastAsia="仿宋"/>
          <w:sz w:val="32"/>
          <w:szCs w:val="32"/>
        </w:rPr>
        <w:t>022</w:t>
      </w:r>
      <w:r>
        <w:rPr>
          <w:rStyle w:val="7"/>
          <w:rFonts w:hint="eastAsia" w:ascii="仿宋" w:hAnsi="仿宋" w:eastAsia="仿宋"/>
          <w:sz w:val="32"/>
          <w:szCs w:val="32"/>
        </w:rPr>
        <w:t>年没有使用国有资本经营预算拨款安排的支出。</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${page400644146.ds215660413_REP_BGT_T_HC1100002019_DXQ02_JBZCQKGY}</w:instrText>
      </w:r>
      <w:r>
        <w:rPr>
          <w:rFonts w:ascii="仿宋" w:hAnsi="仿宋" w:eastAsia="仿宋"/>
          <w:sz w:val="32"/>
          <w:szCs w:val="32"/>
        </w:rPr>
        <w:fldChar w:fldCharType="end"/>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${page400644146.ds215660413_REP_BGT_T_HC1100002019_DXQ02_XMZCQKGY}</w:instrText>
      </w:r>
      <w:r>
        <w:rPr>
          <w:rFonts w:ascii="仿宋" w:hAnsi="仿宋" w:eastAsia="仿宋"/>
          <w:sz w:val="32"/>
          <w:szCs w:val="32"/>
        </w:rPr>
        <w:fldChar w:fldCharType="end"/>
      </w:r>
    </w:p>
    <w:p>
      <w:pPr>
        <w:widowControl/>
        <w:spacing w:line="580" w:lineRule="exact"/>
        <w:ind w:firstLine="640"/>
        <w:jc w:val="left"/>
        <w:rPr>
          <w:rFonts w:ascii="仿宋" w:hAnsi="仿宋" w:eastAsia="仿宋" w:cs="仿宋"/>
          <w:sz w:val="32"/>
          <w:szCs w:val="32"/>
        </w:rPr>
      </w:pPr>
      <w:r>
        <w:rPr>
          <w:rFonts w:hint="eastAsia" w:ascii="仿宋" w:hAnsi="仿宋" w:eastAsia="仿宋" w:cs="仿宋"/>
          <w:b/>
          <w:sz w:val="32"/>
          <w:szCs w:val="32"/>
        </w:rPr>
        <w:t>（六）机关运行经费等重要事项的说明</w:t>
      </w:r>
    </w:p>
    <w:p>
      <w:pPr>
        <w:widowControl/>
        <w:spacing w:line="580" w:lineRule="exact"/>
        <w:ind w:firstLine="636"/>
        <w:rPr>
          <w:rFonts w:ascii="仿宋" w:hAnsi="仿宋" w:eastAsia="仿宋" w:cs="仿宋"/>
          <w:sz w:val="32"/>
          <w:szCs w:val="32"/>
        </w:rPr>
      </w:pPr>
      <w:r>
        <w:rPr>
          <w:rFonts w:hint="eastAsia" w:ascii="仿宋" w:hAnsi="仿宋" w:eastAsia="仿宋" w:cs="仿宋"/>
          <w:sz w:val="32"/>
          <w:szCs w:val="32"/>
        </w:rPr>
        <w:t>2022年本部门机关运行经费为37.9万元，较上年减少11万元，下降29%。减少的原因主要是减少了人员。</w:t>
      </w:r>
    </w:p>
    <w:p>
      <w:pPr>
        <w:widowControl/>
        <w:spacing w:line="580" w:lineRule="exact"/>
        <w:ind w:firstLine="640"/>
        <w:jc w:val="left"/>
        <w:rPr>
          <w:rFonts w:ascii="仿宋" w:hAnsi="仿宋" w:eastAsia="仿宋" w:cs="仿宋"/>
          <w:b/>
          <w:sz w:val="32"/>
          <w:szCs w:val="32"/>
        </w:rPr>
      </w:pPr>
      <w:r>
        <w:rPr>
          <w:rFonts w:hint="eastAsia" w:ascii="仿宋" w:hAnsi="仿宋" w:eastAsia="仿宋" w:cs="仿宋"/>
          <w:b/>
          <w:sz w:val="32"/>
          <w:szCs w:val="32"/>
        </w:rPr>
        <w:t>（七）政府采购情况</w:t>
      </w:r>
    </w:p>
    <w:p>
      <w:pPr>
        <w:widowControl/>
        <w:spacing w:line="580" w:lineRule="exact"/>
        <w:ind w:firstLine="800" w:firstLineChars="250"/>
        <w:rPr>
          <w:rFonts w:ascii="仿宋" w:hAnsi="仿宋" w:eastAsia="仿宋" w:cs="仿宋"/>
          <w:sz w:val="32"/>
          <w:szCs w:val="32"/>
        </w:rPr>
      </w:pPr>
      <w:r>
        <w:rPr>
          <w:rFonts w:hint="eastAsia" w:ascii="仿宋" w:hAnsi="仿宋" w:eastAsia="仿宋" w:cs="仿宋"/>
          <w:sz w:val="32"/>
          <w:szCs w:val="32"/>
        </w:rPr>
        <w:t>2022年部门所属各单位政府采购总额4万元，其中：政府采购货物预算4万元、政府采购工程预算0万元、政府采购服务预算0万元。</w:t>
      </w:r>
    </w:p>
    <w:p>
      <w:pPr>
        <w:widowControl/>
        <w:spacing w:line="580" w:lineRule="exact"/>
        <w:ind w:firstLine="640"/>
        <w:jc w:val="left"/>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（八）国有资产占有使用情况</w:t>
      </w:r>
    </w:p>
    <w:p>
      <w:pPr>
        <w:widowControl/>
        <w:spacing w:line="580" w:lineRule="exact"/>
        <w:ind w:firstLine="800" w:firstLineChars="25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样式：截至2021年12月31日，部门共有车辆3辆，其中，一般公务用车3辆，执法执勤用车0辆。2022年部门预算安排购置车辆0辆。</w:t>
      </w:r>
    </w:p>
    <w:p>
      <w:pPr>
        <w:widowControl/>
        <w:spacing w:line="580" w:lineRule="exact"/>
        <w:ind w:firstLine="803" w:firstLineChars="250"/>
        <w:jc w:val="left"/>
        <w:rPr>
          <w:rStyle w:val="7"/>
          <w:rFonts w:ascii="Adobe 仿宋 Std R" w:hAnsi="Adobe 仿宋 Std R" w:eastAsia="Adobe 仿宋 Std R"/>
          <w:b/>
          <w:color w:val="000000" w:themeColor="text1"/>
          <w:sz w:val="32"/>
          <w:szCs w:val="32"/>
          <w14:textFill>
            <w14:solidFill>
              <w14:schemeClr w14:val="tx1"/>
            </w14:solidFill>
          </w14:textFill>
        </w:rPr>
      </w:pPr>
      <w:r>
        <w:rPr>
          <w:rStyle w:val="7"/>
          <w:rFonts w:hint="eastAsia" w:ascii="Adobe 仿宋 Std R" w:hAnsi="Adobe 仿宋 Std R" w:eastAsia="Adobe 仿宋 Std R"/>
          <w:b/>
          <w:color w:val="000000" w:themeColor="text1"/>
          <w:sz w:val="32"/>
          <w:szCs w:val="32"/>
          <w14:textFill>
            <w14:solidFill>
              <w14:schemeClr w14:val="tx1"/>
            </w14:solidFill>
          </w14:textFill>
        </w:rPr>
        <w:t>（九）区城建事务中心项目情况说明</w:t>
      </w:r>
    </w:p>
    <w:p>
      <w:pPr>
        <w:ind w:firstLine="640" w:firstLineChars="200"/>
        <w:jc w:val="left"/>
        <w:rPr>
          <w:rStyle w:val="7"/>
          <w:rFonts w:ascii="仿宋" w:hAnsi="仿宋" w:eastAsia="仿宋"/>
          <w:sz w:val="32"/>
          <w:szCs w:val="32"/>
        </w:rPr>
      </w:pPr>
      <w:r>
        <w:rPr>
          <w:rStyle w:val="7"/>
          <w:rFonts w:hint="eastAsia" w:ascii="仿宋" w:hAnsi="仿宋" w:eastAsia="仿宋"/>
          <w:sz w:val="32"/>
          <w:szCs w:val="32"/>
        </w:rPr>
        <w:t>本部门2</w:t>
      </w:r>
      <w:r>
        <w:rPr>
          <w:rStyle w:val="7"/>
          <w:rFonts w:ascii="仿宋" w:hAnsi="仿宋" w:eastAsia="仿宋"/>
          <w:sz w:val="32"/>
          <w:szCs w:val="32"/>
        </w:rPr>
        <w:t>022</w:t>
      </w:r>
      <w:r>
        <w:rPr>
          <w:rStyle w:val="7"/>
          <w:rFonts w:hint="eastAsia" w:ascii="仿宋" w:hAnsi="仿宋" w:eastAsia="仿宋"/>
          <w:sz w:val="32"/>
          <w:szCs w:val="32"/>
        </w:rPr>
        <w:t>年没有安排项目支出。</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${page400644146.ds215660413_REP_BGT_T_HC1100002019_DXQ02_JBZCQKGY}</w:instrText>
      </w:r>
      <w:r>
        <w:rPr>
          <w:rFonts w:ascii="仿宋" w:hAnsi="仿宋" w:eastAsia="仿宋"/>
          <w:sz w:val="32"/>
          <w:szCs w:val="32"/>
        </w:rPr>
        <w:fldChar w:fldCharType="end"/>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${page400644146.ds215660413_REP_BGT_T_HC1100002019_DXQ02_XMZCQKGY}</w:instrText>
      </w:r>
      <w:r>
        <w:rPr>
          <w:rFonts w:ascii="仿宋" w:hAnsi="仿宋" w:eastAsia="仿宋"/>
          <w:sz w:val="32"/>
          <w:szCs w:val="32"/>
        </w:rPr>
        <w:fldChar w:fldCharType="end"/>
      </w:r>
    </w:p>
    <w:p>
      <w:pPr>
        <w:widowControl/>
        <w:spacing w:line="580" w:lineRule="exact"/>
        <w:ind w:firstLine="640"/>
        <w:jc w:val="left"/>
        <w:rPr>
          <w:rFonts w:ascii="仿宋" w:hAnsi="仿宋" w:eastAsia="仿宋" w:cs="仿宋"/>
          <w:b/>
          <w:sz w:val="32"/>
          <w:szCs w:val="32"/>
        </w:rPr>
      </w:pPr>
      <w:r>
        <w:rPr>
          <w:rFonts w:hint="eastAsia" w:ascii="仿宋" w:hAnsi="仿宋" w:eastAsia="仿宋" w:cs="仿宋"/>
          <w:b/>
          <w:kern w:val="0"/>
          <w:sz w:val="32"/>
          <w:szCs w:val="32"/>
        </w:rPr>
        <w:t>二、</w:t>
      </w:r>
      <w:r>
        <w:rPr>
          <w:rFonts w:hint="eastAsia" w:ascii="仿宋" w:hAnsi="仿宋" w:eastAsia="仿宋" w:cs="仿宋"/>
          <w:b/>
          <w:sz w:val="32"/>
          <w:szCs w:val="32"/>
        </w:rPr>
        <w:t>2022年“三公”经费预算情况说明</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2022年南昌市经济技术开发区城建事务中心“三公”经费年初预算安排6.4万元。其中：</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1、因公出国（境）费0万元，较上年持平。</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2、公务接待费1万元，比上年减0.3万元，主要原因是：压减公务接待支出。</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3、公务用车运行维护费5.4万元，较上年持平。</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4、公务用车购置费0万元，较上年持平。</w:t>
      </w:r>
    </w:p>
    <w:p>
      <w:pPr>
        <w:widowControl/>
        <w:numPr>
          <w:ilvl w:val="0"/>
          <w:numId w:val="1"/>
        </w:numPr>
        <w:spacing w:line="580" w:lineRule="exact"/>
        <w:jc w:val="center"/>
        <w:rPr>
          <w:rFonts w:ascii="黑体" w:hAnsi="黑体" w:eastAsia="黑体" w:cs="黑体"/>
          <w:b/>
          <w:sz w:val="32"/>
          <w:szCs w:val="30"/>
        </w:rPr>
      </w:pPr>
      <w:r>
        <w:rPr>
          <w:rFonts w:hint="eastAsia" w:ascii="黑体" w:hAnsi="黑体" w:eastAsia="黑体" w:cs="黑体"/>
          <w:b/>
          <w:sz w:val="32"/>
          <w:szCs w:val="30"/>
        </w:rPr>
        <w:t>南昌经济技术开发区城建事务中心2022年部门预算表</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十一张表（详见附表）</w:t>
      </w:r>
    </w:p>
    <w:p>
      <w:pPr>
        <w:widowControl/>
        <w:numPr>
          <w:ilvl w:val="0"/>
          <w:numId w:val="1"/>
        </w:numPr>
        <w:spacing w:line="580" w:lineRule="exact"/>
        <w:jc w:val="center"/>
        <w:rPr>
          <w:rFonts w:ascii="黑体" w:hAnsi="黑体" w:eastAsia="黑体" w:cs="黑体"/>
          <w:b/>
          <w:sz w:val="32"/>
          <w:szCs w:val="30"/>
        </w:rPr>
      </w:pPr>
      <w:r>
        <w:rPr>
          <w:rFonts w:hint="eastAsia" w:ascii="黑体" w:hAnsi="黑体" w:eastAsia="黑体" w:cs="黑体"/>
          <w:b/>
          <w:sz w:val="32"/>
          <w:szCs w:val="30"/>
        </w:rPr>
        <w:t>名词解释</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一、收入科目</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各部门结合实际进行解释。</w:t>
      </w:r>
    </w:p>
    <w:p>
      <w:pPr>
        <w:widowControl/>
        <w:numPr>
          <w:ilvl w:val="0"/>
          <w:numId w:val="2"/>
        </w:numPr>
        <w:spacing w:line="600" w:lineRule="exact"/>
        <w:ind w:firstLine="640"/>
        <w:jc w:val="left"/>
        <w:rPr>
          <w:rFonts w:ascii="仿宋" w:hAnsi="仿宋" w:eastAsia="仿宋" w:cs="仿宋"/>
          <w:sz w:val="32"/>
          <w:szCs w:val="32"/>
        </w:rPr>
      </w:pPr>
      <w:r>
        <w:rPr>
          <w:rFonts w:hint="eastAsia" w:ascii="仿宋" w:hAnsi="仿宋" w:eastAsia="仿宋" w:cs="仿宋"/>
          <w:sz w:val="32"/>
          <w:szCs w:val="32"/>
        </w:rPr>
        <w:t>财政拨款：指财政当年拨付的资金。</w:t>
      </w:r>
    </w:p>
    <w:p>
      <w:pPr>
        <w:widowControl/>
        <w:numPr>
          <w:ilvl w:val="0"/>
          <w:numId w:val="2"/>
        </w:numPr>
        <w:spacing w:line="600" w:lineRule="exact"/>
        <w:ind w:firstLine="640"/>
        <w:jc w:val="left"/>
        <w:rPr>
          <w:rFonts w:ascii="仿宋" w:hAnsi="仿宋" w:eastAsia="仿宋" w:cs="仿宋"/>
          <w:sz w:val="32"/>
          <w:szCs w:val="32"/>
        </w:rPr>
      </w:pPr>
      <w:r>
        <w:rPr>
          <w:rFonts w:hint="eastAsia" w:ascii="仿宋" w:hAnsi="仿宋" w:eastAsia="仿宋" w:cs="仿宋"/>
          <w:sz w:val="32"/>
          <w:szCs w:val="32"/>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 w:hAnsi="仿宋" w:eastAsia="仿宋" w:cs="仿宋"/>
          <w:sz w:val="32"/>
          <w:szCs w:val="32"/>
        </w:rPr>
      </w:pPr>
      <w:r>
        <w:rPr>
          <w:rFonts w:hint="eastAsia" w:ascii="仿宋" w:hAnsi="仿宋" w:eastAsia="仿宋" w:cs="仿宋"/>
          <w:sz w:val="32"/>
          <w:szCs w:val="32"/>
        </w:rPr>
        <w:t>（三）事业收入：指事业单位开展专业业务活动及辅助活动取得的收入。</w:t>
      </w:r>
    </w:p>
    <w:p>
      <w:pPr>
        <w:widowControl/>
        <w:spacing w:line="600" w:lineRule="exact"/>
        <w:ind w:firstLine="636"/>
        <w:jc w:val="left"/>
        <w:rPr>
          <w:rFonts w:ascii="仿宋" w:hAnsi="仿宋" w:eastAsia="仿宋" w:cs="仿宋"/>
          <w:sz w:val="32"/>
          <w:szCs w:val="32"/>
        </w:rPr>
      </w:pPr>
      <w:r>
        <w:rPr>
          <w:rFonts w:hint="eastAsia" w:ascii="仿宋" w:hAnsi="仿宋" w:eastAsia="仿宋" w:cs="仿宋"/>
          <w:sz w:val="32"/>
          <w:szCs w:val="32"/>
        </w:rPr>
        <w:t>（四）事业单位经营收入：指事业单位在专业业务活动及辅助活动之外开展非独立核算经营活动取得的收入。</w:t>
      </w:r>
    </w:p>
    <w:p>
      <w:pPr>
        <w:widowControl/>
        <w:spacing w:line="580" w:lineRule="exact"/>
        <w:ind w:firstLine="636"/>
        <w:jc w:val="left"/>
        <w:rPr>
          <w:rFonts w:ascii="仿宋" w:hAnsi="仿宋" w:eastAsia="仿宋" w:cs="仿宋"/>
          <w:sz w:val="32"/>
          <w:szCs w:val="32"/>
        </w:rPr>
      </w:pPr>
      <w:r>
        <w:rPr>
          <w:rFonts w:hint="eastAsia" w:ascii="仿宋" w:hAnsi="仿宋" w:eastAsia="仿宋" w:cs="仿宋"/>
          <w:sz w:val="32"/>
          <w:szCs w:val="32"/>
        </w:rPr>
        <w:t>（五）附属单位上缴收入：反映事业单位附属的独立核算单位按规定标准或比例缴纳的各项收入。包括附属的事业单位上缴的收入和附属的企业上缴的利润等。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（六）上级补助收入：反映事业单位从主管部门和上级单位取得的非财政补助收入。</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（七）其他收入：指除财政拨款、事业收入、事业单位经营收入等以外的各项收入。</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（八）使用非财政拨款结余：填列历年滚存的非限定用途的非统计财政拨款结余弥补2022年收支差额的数额。</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（九）上年结转和结余：填列2021年全部结转和结余的资金数，包括当年结转结余资金和历年滚存结转结余资金。</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二、支出科目</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对部门预算中涉及的支出功能分类科目（明细到项级），结合部门实际，参照《2022年政府收支分类科目》的规范说明进行解释。</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（一）城乡社区支出（类）</w:t>
      </w:r>
      <w:r>
        <w:rPr>
          <w:rFonts w:hint="eastAsia" w:ascii="仿宋" w:hAnsi="仿宋" w:eastAsia="仿宋" w:cs="仿宋"/>
          <w:sz w:val="32"/>
          <w:szCs w:val="32"/>
          <w:lang w:eastAsia="zh-CN"/>
        </w:rPr>
        <w:t>城乡社区管理事务</w:t>
      </w:r>
      <w:r>
        <w:rPr>
          <w:rFonts w:hint="eastAsia" w:ascii="仿宋" w:hAnsi="仿宋" w:eastAsia="仿宋" w:cs="仿宋"/>
          <w:sz w:val="32"/>
          <w:szCs w:val="32"/>
        </w:rPr>
        <w:t>（款）行政运行（项）：反映行政单位(包括实行公务员管理的事业单位)的基本支出。</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二）城乡社区支出（类）建设市场管理与监督（款）建设市场管理与监督（项）：反映各类建筑工程强制性和推荐性标准及规范的制定与修改、建筑工程招投标等市场管理、建筑工程质量与安全监督等方面的支出。</w:t>
      </w:r>
    </w:p>
    <w:p>
      <w:pPr>
        <w:widowControl/>
        <w:spacing w:line="580" w:lineRule="exact"/>
        <w:ind w:firstLine="640"/>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住房保障支出</w:t>
      </w:r>
      <w:r>
        <w:rPr>
          <w:rFonts w:hint="eastAsia" w:ascii="仿宋" w:hAnsi="仿宋" w:eastAsia="仿宋" w:cs="仿宋"/>
          <w:sz w:val="32"/>
          <w:szCs w:val="32"/>
        </w:rPr>
        <w:t>（类）</w:t>
      </w:r>
      <w:r>
        <w:rPr>
          <w:rFonts w:hint="eastAsia" w:ascii="仿宋" w:hAnsi="仿宋" w:eastAsia="仿宋" w:cs="仿宋"/>
          <w:sz w:val="32"/>
          <w:szCs w:val="32"/>
          <w:lang w:eastAsia="zh-CN"/>
        </w:rPr>
        <w:t>住房改革支出</w:t>
      </w:r>
      <w:r>
        <w:rPr>
          <w:rFonts w:hint="eastAsia" w:ascii="仿宋" w:hAnsi="仿宋" w:eastAsia="仿宋" w:cs="仿宋"/>
          <w:sz w:val="32"/>
          <w:szCs w:val="32"/>
        </w:rPr>
        <w:t>（款）</w:t>
      </w:r>
      <w:r>
        <w:rPr>
          <w:rFonts w:hint="eastAsia" w:ascii="仿宋" w:hAnsi="仿宋" w:eastAsia="仿宋" w:cs="仿宋"/>
          <w:sz w:val="32"/>
          <w:szCs w:val="32"/>
          <w:lang w:eastAsia="zh-CN"/>
        </w:rPr>
        <w:t>住房公积金</w:t>
      </w:r>
      <w:r>
        <w:rPr>
          <w:rFonts w:hint="eastAsia" w:ascii="仿宋" w:hAnsi="仿宋" w:eastAsia="仿宋" w:cs="仿宋"/>
          <w:sz w:val="32"/>
          <w:szCs w:val="32"/>
        </w:rPr>
        <w:t>（项）：</w:t>
      </w:r>
      <w:r>
        <w:rPr>
          <w:rFonts w:hint="eastAsia" w:ascii="仿宋" w:hAnsi="仿宋" w:eastAsia="仿宋" w:cs="仿宋"/>
          <w:sz w:val="32"/>
          <w:szCs w:val="32"/>
          <w:lang w:eastAsia="zh-CN"/>
        </w:rPr>
        <w:t>反映行政事业单位按人力资源和社会保障部、财政部规定的基本工资和津贴补贴以及规定比例为职工缴纳的住房公积金</w:t>
      </w:r>
      <w:r>
        <w:rPr>
          <w:rFonts w:hint="eastAsia" w:ascii="仿宋" w:hAnsi="仿宋" w:eastAsia="仿宋" w:cs="仿宋"/>
          <w:sz w:val="32"/>
          <w:szCs w:val="32"/>
        </w:rPr>
        <w:t>。</w:t>
      </w:r>
    </w:p>
    <w:p>
      <w:pPr>
        <w:widowControl/>
        <w:spacing w:line="580" w:lineRule="exact"/>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538E0F28"/>
    <w:multiLevelType w:val="singleLevel"/>
    <w:tmpl w:val="538E0F28"/>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jNmQzNzNiODIxMmQyYjRjMzUxZTE1MzQxMTZkMGIifQ=="/>
  </w:docVars>
  <w:rsids>
    <w:rsidRoot w:val="36732DE2"/>
    <w:rsid w:val="00047A0A"/>
    <w:rsid w:val="000B25A6"/>
    <w:rsid w:val="00114060"/>
    <w:rsid w:val="00170607"/>
    <w:rsid w:val="001774B7"/>
    <w:rsid w:val="00194661"/>
    <w:rsid w:val="002C149A"/>
    <w:rsid w:val="003238FE"/>
    <w:rsid w:val="0038156A"/>
    <w:rsid w:val="003B4C3F"/>
    <w:rsid w:val="0051536D"/>
    <w:rsid w:val="00583537"/>
    <w:rsid w:val="00590C77"/>
    <w:rsid w:val="006C2677"/>
    <w:rsid w:val="00851A29"/>
    <w:rsid w:val="008B6A5B"/>
    <w:rsid w:val="008E5933"/>
    <w:rsid w:val="00924ACB"/>
    <w:rsid w:val="00A52EC0"/>
    <w:rsid w:val="00B47E49"/>
    <w:rsid w:val="00BC5016"/>
    <w:rsid w:val="00C81E65"/>
    <w:rsid w:val="00C94C63"/>
    <w:rsid w:val="00E410D7"/>
    <w:rsid w:val="00EC2C9F"/>
    <w:rsid w:val="00FD7AD9"/>
    <w:rsid w:val="00FF609E"/>
    <w:rsid w:val="01BB3CD7"/>
    <w:rsid w:val="01E925F2"/>
    <w:rsid w:val="026B74AB"/>
    <w:rsid w:val="05A633A5"/>
    <w:rsid w:val="07822BCD"/>
    <w:rsid w:val="0FFD7E6C"/>
    <w:rsid w:val="12C33978"/>
    <w:rsid w:val="143A4F2F"/>
    <w:rsid w:val="15AE3FC9"/>
    <w:rsid w:val="1B483841"/>
    <w:rsid w:val="1DA84CB7"/>
    <w:rsid w:val="1EFF4DAB"/>
    <w:rsid w:val="21D27332"/>
    <w:rsid w:val="237D0994"/>
    <w:rsid w:val="24E011DB"/>
    <w:rsid w:val="2C156E89"/>
    <w:rsid w:val="2E7F3812"/>
    <w:rsid w:val="36732DE2"/>
    <w:rsid w:val="39DF7DE6"/>
    <w:rsid w:val="3F837E71"/>
    <w:rsid w:val="450879B7"/>
    <w:rsid w:val="50446212"/>
    <w:rsid w:val="516F2F3E"/>
    <w:rsid w:val="51EE4687"/>
    <w:rsid w:val="5750587A"/>
    <w:rsid w:val="581A14EC"/>
    <w:rsid w:val="5FBC5DC5"/>
    <w:rsid w:val="60593614"/>
    <w:rsid w:val="61DE0274"/>
    <w:rsid w:val="632C7BC2"/>
    <w:rsid w:val="6A742439"/>
    <w:rsid w:val="78727511"/>
    <w:rsid w:val="79A436FA"/>
    <w:rsid w:val="7CC227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row_tree_level_4"/>
    <w:basedOn w:val="5"/>
    <w:qFormat/>
    <w:uiPriority w:val="0"/>
  </w:style>
  <w:style w:type="character" w:customStyle="1" w:styleId="8">
    <w:name w:val="页眉 字符"/>
    <w:basedOn w:val="5"/>
    <w:link w:val="3"/>
    <w:qFormat/>
    <w:uiPriority w:val="0"/>
    <w:rPr>
      <w:rFonts w:ascii="Times New Roman" w:hAnsi="Times New Roman" w:eastAsia="宋体" w:cs="Times New Roman"/>
      <w:kern w:val="2"/>
      <w:sz w:val="18"/>
      <w:szCs w:val="18"/>
    </w:rPr>
  </w:style>
  <w:style w:type="character" w:customStyle="1" w:styleId="9">
    <w:name w:val="页脚 字符"/>
    <w:basedOn w:val="5"/>
    <w:link w:val="2"/>
    <w:qFormat/>
    <w:uiPriority w:val="0"/>
    <w:rPr>
      <w:rFonts w:ascii="Times New Roman" w:hAnsi="Times New Roman" w:eastAsia="宋体" w:cs="Times New Roman"/>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6CE5BEA0-B010-4AC6-A20A-F161D84A0940}">
  <ds:schemaRefs/>
</ds:datastoreItem>
</file>

<file path=customXml/itemProps2.xml><?xml version="1.0" encoding="utf-8"?>
<ds:datastoreItem xmlns:ds="http://schemas.openxmlformats.org/officeDocument/2006/customXml" ds:itemID="{E78DD245-B2B4-4DEC-BE83-496D0C14A7C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2740</Words>
  <Characters>2942</Characters>
  <Lines>22</Lines>
  <Paragraphs>6</Paragraphs>
  <TotalTime>66</TotalTime>
  <ScaleCrop>false</ScaleCrop>
  <LinksUpToDate>false</LinksUpToDate>
  <CharactersWithSpaces>2967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2023-06-12T03:53:00Z</dcterms:created>
  <dc:creator>肥妮</dc:creator>
  <cp:lastModifiedBy>Timer</cp:lastModifiedBy>
  <dcterms:modified xsi:type="dcterms:W3CDTF">2023-07-06T06:08:09Z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0ED4B188637B4A23AEF7A3623C543105_13</vt:lpwstr>
  </property>
</Properties>
</file>