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南昌经济技术开发区综治中心</w:t>
      </w:r>
    </w:p>
    <w:p>
      <w:pPr>
        <w:spacing w:line="520" w:lineRule="exact"/>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2022年部门预算</w:t>
      </w:r>
    </w:p>
    <w:p>
      <w:pPr>
        <w:rPr>
          <w:rFonts w:hint="eastAsia" w:ascii="仿宋_GB2312" w:eastAsia="仿宋_GB2312"/>
          <w:sz w:val="32"/>
          <w:szCs w:val="32"/>
        </w:rPr>
      </w:pPr>
    </w:p>
    <w:p>
      <w:pPr>
        <w:spacing w:line="600" w:lineRule="exact"/>
        <w:jc w:val="center"/>
        <w:rPr>
          <w:rFonts w:hint="eastAsia" w:ascii="仿宋_GB2312" w:eastAsia="仿宋_GB2312"/>
          <w:sz w:val="32"/>
          <w:szCs w:val="32"/>
        </w:rPr>
      </w:pPr>
      <w:r>
        <w:rPr>
          <w:rFonts w:hint="eastAsia" w:ascii="仿宋_GB2312" w:eastAsia="仿宋_GB2312"/>
          <w:sz w:val="32"/>
          <w:szCs w:val="32"/>
        </w:rPr>
        <w:t>目    录</w:t>
      </w:r>
    </w:p>
    <w:p>
      <w:pPr>
        <w:widowControl/>
        <w:spacing w:line="580" w:lineRule="exact"/>
        <w:ind w:firstLine="643" w:firstLineChars="200"/>
        <w:jc w:val="left"/>
        <w:rPr>
          <w:rFonts w:hint="eastAsia" w:ascii="仿宋_GB2312" w:hAnsi="仿宋" w:eastAsia="仿宋_GB2312" w:cs="仿宋"/>
          <w:b/>
          <w:sz w:val="32"/>
          <w:szCs w:val="32"/>
        </w:rPr>
      </w:pPr>
      <w:r>
        <w:rPr>
          <w:rFonts w:hint="eastAsia" w:ascii="仿宋_GB2312" w:hAnsi="仿宋" w:eastAsia="仿宋_GB2312" w:cs="仿宋"/>
          <w:b/>
          <w:sz w:val="32"/>
          <w:szCs w:val="32"/>
        </w:rPr>
        <w:t>第一部分  南昌经济技术开发区综治中心概况</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b/>
          <w:sz w:val="32"/>
          <w:szCs w:val="32"/>
        </w:rPr>
        <w:t xml:space="preserve">  </w:t>
      </w:r>
      <w:r>
        <w:rPr>
          <w:rFonts w:hint="eastAsia" w:ascii="仿宋_GB2312" w:hAnsi="仿宋" w:eastAsia="仿宋_GB2312" w:cs="仿宋"/>
          <w:sz w:val="32"/>
          <w:szCs w:val="32"/>
        </w:rPr>
        <w:t xml:space="preserve">  一、部门主要职责</w:t>
      </w:r>
    </w:p>
    <w:p>
      <w:pPr>
        <w:widowControl/>
        <w:spacing w:line="580" w:lineRule="exact"/>
        <w:ind w:firstLine="640"/>
        <w:jc w:val="left"/>
        <w:rPr>
          <w:rFonts w:hint="eastAsia" w:ascii="仿宋_GB2312" w:hAnsi="仿宋" w:eastAsia="仿宋_GB2312" w:cs="仿宋"/>
          <w:kern w:val="0"/>
          <w:sz w:val="32"/>
          <w:szCs w:val="32"/>
        </w:rPr>
      </w:pPr>
      <w:r>
        <w:rPr>
          <w:rFonts w:hint="eastAsia" w:ascii="仿宋_GB2312" w:hAnsi="仿宋" w:eastAsia="仿宋_GB2312" w:cs="仿宋"/>
          <w:kern w:val="0"/>
          <w:sz w:val="32"/>
          <w:szCs w:val="32"/>
        </w:rPr>
        <w:t xml:space="preserve">    二、部门基本情况</w:t>
      </w:r>
    </w:p>
    <w:p>
      <w:pPr>
        <w:widowControl/>
        <w:spacing w:line="580" w:lineRule="exact"/>
        <w:ind w:firstLine="640"/>
        <w:jc w:val="left"/>
        <w:rPr>
          <w:rFonts w:hint="eastAsia" w:ascii="仿宋_GB2312" w:hAnsi="仿宋" w:eastAsia="仿宋_GB2312" w:cs="仿宋"/>
          <w:b/>
          <w:sz w:val="44"/>
          <w:szCs w:val="44"/>
        </w:rPr>
      </w:pPr>
      <w:r>
        <w:rPr>
          <w:rFonts w:hint="eastAsia" w:ascii="仿宋_GB2312" w:hAnsi="仿宋" w:eastAsia="仿宋_GB2312" w:cs="仿宋"/>
          <w:b/>
          <w:kern w:val="0"/>
          <w:sz w:val="32"/>
          <w:szCs w:val="32"/>
        </w:rPr>
        <w:t xml:space="preserve">第二部分  </w:t>
      </w:r>
      <w:r>
        <w:rPr>
          <w:rFonts w:hint="eastAsia" w:ascii="仿宋_GB2312" w:hAnsi="仿宋" w:eastAsia="仿宋_GB2312" w:cs="仿宋"/>
          <w:b/>
          <w:sz w:val="32"/>
          <w:szCs w:val="32"/>
        </w:rPr>
        <w:t>南昌经济技术开发区综治中心2022年部门预算情况说明</w:t>
      </w:r>
    </w:p>
    <w:p>
      <w:pPr>
        <w:widowControl/>
        <w:spacing w:line="580" w:lineRule="exact"/>
        <w:ind w:firstLine="1280" w:firstLineChars="400"/>
        <w:jc w:val="left"/>
        <w:rPr>
          <w:rFonts w:hint="eastAsia" w:ascii="仿宋_GB2312" w:hAnsi="仿宋" w:eastAsia="仿宋_GB2312" w:cs="仿宋"/>
          <w:sz w:val="32"/>
          <w:szCs w:val="32"/>
        </w:rPr>
      </w:pPr>
      <w:r>
        <w:rPr>
          <w:rFonts w:hint="eastAsia" w:ascii="仿宋_GB2312" w:hAnsi="仿宋" w:eastAsia="仿宋_GB2312" w:cs="仿宋"/>
          <w:sz w:val="32"/>
          <w:szCs w:val="32"/>
        </w:rPr>
        <w:t>一、2022年部门预算收支情况说明</w:t>
      </w:r>
    </w:p>
    <w:p>
      <w:pPr>
        <w:widowControl/>
        <w:spacing w:line="580" w:lineRule="exact"/>
        <w:ind w:firstLine="1280" w:firstLineChars="400"/>
        <w:jc w:val="left"/>
        <w:rPr>
          <w:rFonts w:hint="eastAsia" w:ascii="仿宋_GB2312" w:hAnsi="仿宋" w:eastAsia="仿宋_GB2312" w:cs="仿宋"/>
          <w:sz w:val="32"/>
          <w:szCs w:val="32"/>
        </w:rPr>
      </w:pPr>
      <w:r>
        <w:rPr>
          <w:rFonts w:hint="eastAsia" w:ascii="仿宋_GB2312" w:hAnsi="仿宋" w:eastAsia="仿宋_GB2312" w:cs="仿宋"/>
          <w:kern w:val="0"/>
          <w:sz w:val="32"/>
          <w:szCs w:val="32"/>
        </w:rPr>
        <w:t>二、</w:t>
      </w:r>
      <w:r>
        <w:rPr>
          <w:rFonts w:hint="eastAsia" w:ascii="仿宋_GB2312" w:hAnsi="仿宋" w:eastAsia="仿宋_GB2312" w:cs="仿宋"/>
          <w:sz w:val="32"/>
          <w:szCs w:val="32"/>
        </w:rPr>
        <w:t>2022年“三公”经费预算情况说明</w:t>
      </w:r>
    </w:p>
    <w:p>
      <w:pPr>
        <w:widowControl/>
        <w:spacing w:line="580" w:lineRule="exact"/>
        <w:ind w:firstLine="640"/>
        <w:jc w:val="left"/>
        <w:rPr>
          <w:rFonts w:hint="eastAsia" w:ascii="仿宋_GB2312" w:hAnsi="仿宋" w:eastAsia="仿宋_GB2312" w:cs="仿宋"/>
          <w:b/>
          <w:sz w:val="32"/>
          <w:szCs w:val="32"/>
        </w:rPr>
      </w:pPr>
      <w:r>
        <w:rPr>
          <w:rFonts w:hint="eastAsia" w:ascii="仿宋_GB2312" w:hAnsi="仿宋" w:eastAsia="仿宋_GB2312" w:cs="仿宋"/>
          <w:b/>
          <w:sz w:val="32"/>
          <w:szCs w:val="32"/>
        </w:rPr>
        <w:t>第三部分  南昌经济技术开发区综治中心2022年部门预算表</w:t>
      </w:r>
    </w:p>
    <w:p>
      <w:pPr>
        <w:pStyle w:val="6"/>
        <w:spacing w:line="580" w:lineRule="exact"/>
        <w:ind w:firstLine="1280"/>
        <w:jc w:val="left"/>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一、《收支预算总表》</w:t>
      </w:r>
    </w:p>
    <w:p>
      <w:pPr>
        <w:pStyle w:val="6"/>
        <w:spacing w:line="580" w:lineRule="exact"/>
        <w:ind w:firstLine="1280"/>
        <w:jc w:val="left"/>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二、《部门收入总表》</w:t>
      </w:r>
    </w:p>
    <w:p>
      <w:pPr>
        <w:pStyle w:val="6"/>
        <w:spacing w:line="580" w:lineRule="exact"/>
        <w:ind w:firstLine="1280"/>
        <w:jc w:val="left"/>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三、《部门支出总表》</w:t>
      </w:r>
    </w:p>
    <w:p>
      <w:pPr>
        <w:pStyle w:val="6"/>
        <w:spacing w:line="580" w:lineRule="exact"/>
        <w:ind w:firstLine="1280"/>
        <w:jc w:val="left"/>
        <w:rPr>
          <w:rFonts w:hint="eastAsia" w:ascii="仿宋_GB2312" w:hAnsi="仿宋" w:eastAsia="仿宋_GB2312" w:cs="仿宋"/>
          <w:kern w:val="2"/>
          <w:sz w:val="32"/>
          <w:szCs w:val="32"/>
        </w:rPr>
      </w:pPr>
      <w:r>
        <w:rPr>
          <w:rFonts w:hint="eastAsia" w:ascii="仿宋_GB2312" w:hAnsi="仿宋" w:eastAsia="仿宋_GB2312" w:cs="仿宋"/>
          <w:kern w:val="2"/>
          <w:sz w:val="32"/>
          <w:szCs w:val="32"/>
        </w:rPr>
        <w:t>四、《财政拨款收支总表》</w:t>
      </w:r>
    </w:p>
    <w:p>
      <w:pPr>
        <w:pStyle w:val="6"/>
        <w:spacing w:line="580" w:lineRule="exact"/>
        <w:ind w:firstLine="1280"/>
        <w:jc w:val="left"/>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五、《一般公共预算支出表》</w:t>
      </w:r>
    </w:p>
    <w:p>
      <w:pPr>
        <w:pStyle w:val="6"/>
        <w:spacing w:line="580" w:lineRule="exact"/>
        <w:ind w:firstLine="1280"/>
        <w:jc w:val="left"/>
        <w:rPr>
          <w:rFonts w:hint="eastAsia" w:ascii="仿宋_GB2312" w:hAnsi="仿宋" w:eastAsia="仿宋_GB2312" w:cs="仿宋"/>
          <w:kern w:val="2"/>
          <w:sz w:val="32"/>
          <w:szCs w:val="32"/>
        </w:rPr>
      </w:pPr>
      <w:r>
        <w:rPr>
          <w:rFonts w:hint="eastAsia" w:ascii="仿宋_GB2312" w:hAnsi="仿宋" w:eastAsia="仿宋_GB2312" w:cs="仿宋"/>
          <w:kern w:val="2"/>
          <w:sz w:val="32"/>
          <w:szCs w:val="32"/>
        </w:rPr>
        <w:t>六、《一般公共预算基本支出表》</w:t>
      </w:r>
    </w:p>
    <w:p>
      <w:pPr>
        <w:pStyle w:val="6"/>
        <w:spacing w:line="580" w:lineRule="exact"/>
        <w:ind w:firstLine="1280"/>
        <w:jc w:val="left"/>
        <w:rPr>
          <w:rFonts w:hint="eastAsia" w:ascii="仿宋_GB2312" w:hAnsi="仿宋" w:eastAsia="仿宋_GB2312" w:cs="仿宋"/>
          <w:kern w:val="2"/>
          <w:sz w:val="32"/>
          <w:szCs w:val="32"/>
        </w:rPr>
      </w:pPr>
      <w:r>
        <w:rPr>
          <w:rFonts w:hint="eastAsia" w:ascii="仿宋_GB2312" w:hAnsi="仿宋" w:eastAsia="仿宋_GB2312" w:cs="仿宋"/>
          <w:kern w:val="2"/>
          <w:sz w:val="32"/>
          <w:szCs w:val="32"/>
        </w:rPr>
        <w:t>七、《一般公共预算“三公”经费支出表》</w:t>
      </w:r>
    </w:p>
    <w:p>
      <w:pPr>
        <w:pStyle w:val="6"/>
        <w:spacing w:line="580" w:lineRule="exact"/>
        <w:ind w:firstLine="1280"/>
        <w:jc w:val="left"/>
        <w:rPr>
          <w:rFonts w:hint="eastAsia" w:ascii="仿宋_GB2312" w:hAnsi="仿宋" w:eastAsia="仿宋_GB2312" w:cs="仿宋"/>
          <w:kern w:val="2"/>
          <w:sz w:val="32"/>
          <w:szCs w:val="32"/>
        </w:rPr>
      </w:pPr>
      <w:r>
        <w:rPr>
          <w:rFonts w:hint="eastAsia" w:ascii="仿宋_GB2312" w:hAnsi="仿宋" w:eastAsia="仿宋_GB2312" w:cs="仿宋"/>
          <w:kern w:val="2"/>
          <w:sz w:val="32"/>
          <w:szCs w:val="32"/>
        </w:rPr>
        <w:t>八、《政府性基金预算支出表》</w:t>
      </w:r>
    </w:p>
    <w:p>
      <w:pPr>
        <w:pStyle w:val="6"/>
        <w:tabs>
          <w:tab w:val="left" w:pos="6546"/>
        </w:tabs>
        <w:spacing w:line="580" w:lineRule="exact"/>
        <w:ind w:firstLine="1280"/>
        <w:jc w:val="left"/>
        <w:rPr>
          <w:rFonts w:hint="eastAsia" w:ascii="仿宋_GB2312" w:hAnsi="仿宋" w:eastAsia="仿宋_GB2312" w:cs="仿宋"/>
          <w:color w:val="FF0000"/>
          <w:sz w:val="32"/>
          <w:szCs w:val="32"/>
        </w:rPr>
      </w:pPr>
      <w:r>
        <w:rPr>
          <w:rFonts w:hint="eastAsia" w:ascii="仿宋_GB2312" w:hAnsi="仿宋" w:eastAsia="仿宋_GB2312" w:cs="仿宋"/>
          <w:kern w:val="2"/>
          <w:sz w:val="32"/>
          <w:szCs w:val="32"/>
        </w:rPr>
        <w:t>九、《项目绩效目标表》</w:t>
      </w:r>
    </w:p>
    <w:p>
      <w:pPr>
        <w:widowControl/>
        <w:spacing w:line="580" w:lineRule="exact"/>
        <w:ind w:firstLine="640"/>
        <w:jc w:val="left"/>
        <w:rPr>
          <w:rFonts w:hint="eastAsia" w:ascii="仿宋_GB2312" w:hAnsi="仿宋" w:eastAsia="仿宋_GB2312" w:cs="仿宋"/>
          <w:b/>
          <w:sz w:val="32"/>
          <w:szCs w:val="32"/>
        </w:rPr>
      </w:pPr>
      <w:r>
        <w:rPr>
          <w:rFonts w:hint="eastAsia" w:ascii="仿宋_GB2312" w:hAnsi="仿宋" w:eastAsia="仿宋_GB2312" w:cs="仿宋"/>
          <w:b/>
          <w:sz w:val="32"/>
          <w:szCs w:val="32"/>
        </w:rPr>
        <w:t>第四部分  名词解释</w:t>
      </w:r>
    </w:p>
    <w:p>
      <w:pPr>
        <w:widowControl/>
        <w:spacing w:line="580" w:lineRule="exact"/>
        <w:jc w:val="center"/>
        <w:rPr>
          <w:rFonts w:hint="eastAsia" w:ascii="仿宋_GB2312" w:hAnsi="黑体" w:eastAsia="仿宋_GB2312" w:cs="黑体"/>
          <w:b/>
          <w:sz w:val="32"/>
          <w:szCs w:val="32"/>
        </w:rPr>
      </w:pPr>
    </w:p>
    <w:p>
      <w:pPr>
        <w:widowControl/>
        <w:spacing w:line="580" w:lineRule="exact"/>
        <w:jc w:val="center"/>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第一部分  南昌经济技术开发区综治中心概况</w:t>
      </w: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r>
        <w:rPr>
          <w:rFonts w:hint="eastAsia" w:ascii="仿宋_GB2312" w:hAnsi="楷体" w:eastAsia="仿宋_GB2312" w:cs="楷体"/>
          <w:b/>
          <w:sz w:val="32"/>
          <w:szCs w:val="32"/>
        </w:rPr>
        <w:t>一、部门主要职责</w:t>
      </w:r>
    </w:p>
    <w:p>
      <w:pPr>
        <w:widowControl/>
        <w:spacing w:line="580" w:lineRule="exact"/>
        <w:ind w:firstLine="640"/>
        <w:jc w:val="left"/>
        <w:rPr>
          <w:rFonts w:hint="eastAsia" w:ascii="仿宋_GB2312" w:eastAsia="仿宋_GB2312"/>
          <w:sz w:val="32"/>
          <w:szCs w:val="32"/>
        </w:rPr>
      </w:pPr>
      <w:r>
        <w:rPr>
          <w:rFonts w:hint="eastAsia" w:ascii="仿宋_GB2312" w:eastAsia="仿宋_GB2312"/>
          <w:sz w:val="32"/>
          <w:szCs w:val="32"/>
        </w:rPr>
        <w:t>区综治中心</w:t>
      </w:r>
      <w:r>
        <w:rPr>
          <w:rFonts w:hint="eastAsia" w:ascii="仿宋_GB2312" w:hAnsi="宋体" w:eastAsia="仿宋_GB2312"/>
          <w:sz w:val="32"/>
          <w:szCs w:val="32"/>
        </w:rPr>
        <w:t>是区工委、区管委会的协调机构，</w:t>
      </w:r>
      <w:r>
        <w:rPr>
          <w:rFonts w:hint="eastAsia" w:ascii="仿宋_GB2312" w:eastAsia="仿宋_GB2312"/>
          <w:sz w:val="32"/>
          <w:szCs w:val="32"/>
        </w:rPr>
        <w:t>主管政法、维稳、信访等工作的部门，主要职责是：</w:t>
      </w:r>
      <w:r>
        <w:rPr>
          <w:rFonts w:hint="eastAsia" w:ascii="仿宋_GB2312" w:hAnsi="宋体" w:eastAsia="仿宋_GB2312" w:cs="宋体"/>
          <w:kern w:val="0"/>
          <w:sz w:val="32"/>
          <w:szCs w:val="32"/>
        </w:rPr>
        <w:t>负责全区的政法、综治、维稳、反邪教、司法、依法治区、铁路护路、信访等其他工作。</w:t>
      </w:r>
    </w:p>
    <w:p>
      <w:pPr>
        <w:widowControl/>
        <w:spacing w:line="580" w:lineRule="exact"/>
        <w:ind w:firstLine="640"/>
        <w:jc w:val="left"/>
        <w:rPr>
          <w:rFonts w:hint="eastAsia" w:ascii="仿宋_GB2312" w:hAnsi="楷体" w:eastAsia="仿宋_GB2312" w:cs="楷体"/>
          <w:b/>
          <w:kern w:val="0"/>
          <w:sz w:val="32"/>
          <w:szCs w:val="32"/>
        </w:rPr>
      </w:pPr>
      <w:r>
        <w:rPr>
          <w:rFonts w:hint="eastAsia" w:ascii="仿宋_GB2312" w:hAnsi="楷体" w:eastAsia="仿宋_GB2312" w:cs="楷体"/>
          <w:b/>
          <w:kern w:val="0"/>
          <w:sz w:val="32"/>
          <w:szCs w:val="32"/>
        </w:rPr>
        <w:t>二、部门基本情况</w:t>
      </w:r>
    </w:p>
    <w:p>
      <w:pPr>
        <w:widowControl/>
        <w:spacing w:line="580" w:lineRule="exact"/>
        <w:ind w:firstLine="640"/>
        <w:jc w:val="left"/>
        <w:rPr>
          <w:rFonts w:hint="eastAsia" w:ascii="仿宋_GB2312" w:eastAsia="仿宋_GB2312"/>
          <w:sz w:val="32"/>
          <w:szCs w:val="32"/>
        </w:rPr>
      </w:pPr>
      <w:r>
        <w:rPr>
          <w:rFonts w:hint="eastAsia" w:ascii="仿宋_GB2312" w:eastAsia="仿宋_GB2312"/>
          <w:sz w:val="32"/>
          <w:szCs w:val="32"/>
        </w:rPr>
        <w:t>我中心为二级事业单位，上级部门是区社会事务发展局。我办实有人数19人，人员编制数为16人，其中在编在岗10人，4人为聘用，2人为借用，3人为人才派遣。</w:t>
      </w:r>
    </w:p>
    <w:p>
      <w:pPr>
        <w:widowControl/>
        <w:spacing w:line="580" w:lineRule="exact"/>
        <w:ind w:firstLine="640"/>
        <w:jc w:val="left"/>
        <w:rPr>
          <w:rFonts w:hint="eastAsia" w:ascii="仿宋_GB2312" w:eastAsia="仿宋_GB2312"/>
          <w:sz w:val="32"/>
          <w:szCs w:val="32"/>
        </w:rPr>
      </w:pPr>
    </w:p>
    <w:p>
      <w:pPr>
        <w:widowControl/>
        <w:numPr>
          <w:ilvl w:val="0"/>
          <w:numId w:val="1"/>
        </w:numPr>
        <w:spacing w:line="580" w:lineRule="exact"/>
        <w:jc w:val="center"/>
        <w:rPr>
          <w:rFonts w:hint="eastAsia" w:ascii="仿宋_GB2312" w:hAnsi="黑体" w:eastAsia="仿宋_GB2312" w:cs="黑体"/>
          <w:b/>
          <w:sz w:val="44"/>
          <w:szCs w:val="44"/>
        </w:rPr>
      </w:pPr>
      <w:r>
        <w:rPr>
          <w:rFonts w:hint="eastAsia" w:ascii="仿宋_GB2312" w:hAnsi="黑体" w:eastAsia="仿宋_GB2312" w:cs="黑体"/>
          <w:b/>
          <w:sz w:val="44"/>
          <w:szCs w:val="44"/>
        </w:rPr>
        <w:t>南昌经济技术开发区综治中心2022年部门预算情况说明</w:t>
      </w:r>
    </w:p>
    <w:p>
      <w:pPr>
        <w:widowControl/>
        <w:spacing w:line="580" w:lineRule="exact"/>
        <w:ind w:firstLine="643" w:firstLineChars="200"/>
        <w:jc w:val="left"/>
        <w:rPr>
          <w:rFonts w:hint="eastAsia" w:ascii="仿宋_GB2312" w:hAnsi="楷体" w:eastAsia="仿宋_GB2312" w:cs="楷体"/>
          <w:b/>
          <w:sz w:val="32"/>
          <w:szCs w:val="32"/>
        </w:rPr>
      </w:pPr>
    </w:p>
    <w:p>
      <w:pPr>
        <w:widowControl/>
        <w:spacing w:line="580" w:lineRule="exact"/>
        <w:ind w:firstLine="643" w:firstLineChars="200"/>
        <w:jc w:val="left"/>
        <w:rPr>
          <w:rFonts w:hint="eastAsia" w:ascii="仿宋_GB2312" w:hAnsi="楷体" w:eastAsia="仿宋_GB2312" w:cs="楷体"/>
          <w:b/>
          <w:sz w:val="32"/>
          <w:szCs w:val="32"/>
        </w:rPr>
      </w:pPr>
      <w:r>
        <w:rPr>
          <w:rFonts w:hint="eastAsia" w:ascii="仿宋_GB2312" w:hAnsi="楷体" w:eastAsia="仿宋_GB2312" w:cs="楷体"/>
          <w:b/>
          <w:sz w:val="32"/>
          <w:szCs w:val="32"/>
        </w:rPr>
        <w:t>一、2022年部门预算收支情况说明</w:t>
      </w:r>
    </w:p>
    <w:p>
      <w:pPr>
        <w:widowControl/>
        <w:spacing w:line="580" w:lineRule="exact"/>
        <w:ind w:firstLine="640"/>
        <w:jc w:val="left"/>
        <w:rPr>
          <w:rFonts w:hint="eastAsia" w:ascii="仿宋_GB2312" w:hAnsi="仿宋" w:eastAsia="仿宋_GB2312" w:cs="仿宋"/>
          <w:b/>
          <w:sz w:val="32"/>
          <w:szCs w:val="32"/>
        </w:rPr>
      </w:pPr>
      <w:r>
        <w:rPr>
          <w:rFonts w:hint="eastAsia" w:ascii="仿宋_GB2312" w:hAnsi="仿宋" w:eastAsia="仿宋_GB2312" w:cs="仿宋"/>
          <w:b/>
          <w:sz w:val="32"/>
          <w:szCs w:val="32"/>
        </w:rPr>
        <w:t xml:space="preserve">（一）收入预算情况   </w:t>
      </w:r>
    </w:p>
    <w:p>
      <w:pPr>
        <w:widowControl/>
        <w:spacing w:line="58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2022年区综治中心收入预算总额为6242.54万元，比上年增加647.81万元，增长11.58</w:t>
      </w:r>
      <w:bookmarkStart w:id="0" w:name="_GoBack"/>
      <w:bookmarkEnd w:id="0"/>
      <w:r>
        <w:rPr>
          <w:rFonts w:hint="eastAsia" w:ascii="仿宋_GB2312" w:hAnsi="仿宋" w:eastAsia="仿宋_GB2312" w:cs="仿宋"/>
          <w:sz w:val="32"/>
          <w:szCs w:val="32"/>
        </w:rPr>
        <w:t>%。其中：财政拨款收入6046.52万元；上年结余结转收入112.02万元；上级补助收入84万元。</w:t>
      </w:r>
    </w:p>
    <w:p>
      <w:pPr>
        <w:widowControl/>
        <w:spacing w:line="580" w:lineRule="exact"/>
        <w:ind w:firstLine="640"/>
        <w:jc w:val="left"/>
        <w:rPr>
          <w:rFonts w:hint="eastAsia" w:ascii="仿宋_GB2312" w:hAnsi="仿宋" w:eastAsia="仿宋_GB2312" w:cs="仿宋"/>
          <w:b/>
          <w:sz w:val="32"/>
          <w:szCs w:val="32"/>
        </w:rPr>
      </w:pPr>
      <w:r>
        <w:rPr>
          <w:rFonts w:hint="eastAsia" w:ascii="仿宋_GB2312" w:hAnsi="仿宋" w:eastAsia="仿宋_GB2312" w:cs="仿宋"/>
          <w:b/>
          <w:sz w:val="32"/>
          <w:szCs w:val="32"/>
        </w:rPr>
        <w:t xml:space="preserve">（二）支出预算情况  </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2022年区综治中心支出预算总额为6242.54万元，比上年增加647.81万元，增长11.58%。其中：按支出项目类别划分：基本支出1037.52万元，包括工资福利支出1001.07万元、日常公用支出36.45万元、对个人和家庭的补助41.34万元；项目支出5205.02万元，包括综治专项经费支出250.08万元、综合应急救援专项经费支出299.97万元、社区网格化专项经费支出333.61万元、司法专项经费支出204.35万元、信访专项经费支出83万元、智慧平安小区等专项经费支出4034.01万元。</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按支出功能科目划分：一般公共服务5363.27万元；公共安全支出504.32万元；城乡社区支出333.61万元；住房保障支出41.34万元。</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按支出经济分类划分：工资福利支出1001.07万元，占支出预算总额的16.04%；商品和服务支出5241.47万元，占支出预算总额的83.96%。</w:t>
      </w:r>
    </w:p>
    <w:p>
      <w:pPr>
        <w:widowControl/>
        <w:spacing w:line="580" w:lineRule="exact"/>
        <w:ind w:firstLine="640"/>
        <w:jc w:val="left"/>
        <w:rPr>
          <w:rFonts w:hint="eastAsia" w:ascii="仿宋_GB2312" w:hAnsi="仿宋" w:eastAsia="仿宋_GB2312" w:cs="仿宋"/>
          <w:b/>
          <w:sz w:val="32"/>
          <w:szCs w:val="32"/>
        </w:rPr>
      </w:pPr>
      <w:r>
        <w:rPr>
          <w:rFonts w:hint="eastAsia" w:ascii="仿宋_GB2312" w:hAnsi="仿宋" w:eastAsia="仿宋_GB2312" w:cs="仿宋"/>
          <w:b/>
          <w:sz w:val="32"/>
          <w:szCs w:val="32"/>
        </w:rPr>
        <w:t>（三）财政拨款支出情况</w:t>
      </w:r>
    </w:p>
    <w:p>
      <w:pPr>
        <w:widowControl/>
        <w:spacing w:line="58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2022年区综治中心财政拨款支出预算6242.54万元，较上年增加647.81万元，增长11.58%。具体支出情况是：一般公共服务支出5363.27万元，占财政拨款支出的85.91%；公共安全支出504.32万元，占财政拨款支出的8.08%；城乡社区支出333.61万元，占财政拨款支出的5.34%；住房保障支出41.34万元，占财政拨款支出的0.66%；。</w:t>
      </w:r>
    </w:p>
    <w:p>
      <w:pPr>
        <w:widowControl/>
        <w:spacing w:line="580" w:lineRule="exact"/>
        <w:ind w:firstLine="640"/>
        <w:rPr>
          <w:rFonts w:hint="eastAsia" w:ascii="仿宋_GB2312" w:hAnsi="仿宋" w:eastAsia="仿宋_GB2312" w:cs="仿宋"/>
          <w:sz w:val="32"/>
          <w:szCs w:val="32"/>
        </w:rPr>
      </w:pPr>
      <w:r>
        <w:rPr>
          <w:rFonts w:hint="eastAsia" w:ascii="仿宋_GB2312" w:hAnsi="仿宋" w:eastAsia="仿宋_GB2312" w:cs="仿宋"/>
          <w:b/>
          <w:sz w:val="32"/>
          <w:szCs w:val="32"/>
        </w:rPr>
        <w:t>（四）政府性基金情况</w:t>
      </w:r>
    </w:p>
    <w:p>
      <w:pPr>
        <w:ind w:firstLine="640" w:firstLineChars="200"/>
        <w:rPr>
          <w:rFonts w:hint="eastAsia" w:ascii="仿宋_GB2312" w:hAnsi="仿宋" w:eastAsia="仿宋_GB2312"/>
          <w:kern w:val="0"/>
          <w:sz w:val="32"/>
          <w:szCs w:val="32"/>
        </w:rPr>
      </w:pPr>
      <w:r>
        <w:rPr>
          <w:rStyle w:val="7"/>
          <w:rFonts w:hint="eastAsia" w:ascii="仿宋_GB2312" w:hAnsi="仿宋" w:eastAsia="仿宋_GB2312"/>
          <w:sz w:val="32"/>
          <w:szCs w:val="32"/>
        </w:rPr>
        <w:t>本部门2022年</w:t>
      </w:r>
      <w:r>
        <w:rPr>
          <w:rFonts w:hint="eastAsia" w:ascii="仿宋_GB2312" w:hAnsi="Adobe 仿宋 Std R" w:eastAsia="仿宋_GB2312"/>
          <w:sz w:val="32"/>
          <w:szCs w:val="32"/>
        </w:rPr>
        <w:t>政府性基金支出预算</w:t>
      </w:r>
      <w:r>
        <w:rPr>
          <w:rStyle w:val="7"/>
          <w:rFonts w:hint="eastAsia" w:ascii="仿宋_GB2312" w:hAnsi="仿宋" w:eastAsia="仿宋_GB2312"/>
          <w:sz w:val="32"/>
          <w:szCs w:val="32"/>
        </w:rPr>
        <w:t>为</w:t>
      </w:r>
      <w:r>
        <w:rPr>
          <w:rFonts w:hint="eastAsia" w:ascii="仿宋_GB2312" w:hAnsi="仿宋" w:eastAsia="仿宋_GB2312"/>
          <w:kern w:val="0"/>
          <w:sz w:val="32"/>
          <w:szCs w:val="32"/>
        </w:rPr>
        <w:t>0万元。</w:t>
      </w:r>
      <w:r>
        <w:rPr>
          <w:rStyle w:val="7"/>
          <w:rFonts w:hint="eastAsia" w:ascii="仿宋_GB2312" w:hAnsi="仿宋" w:eastAsia="仿宋_GB2312"/>
          <w:sz w:val="32"/>
          <w:szCs w:val="32"/>
        </w:rPr>
        <w:t>没有使用政府性基金预算拨款安排的支出</w:t>
      </w:r>
    </w:p>
    <w:p>
      <w:pPr>
        <w:ind w:firstLine="643" w:firstLineChars="200"/>
        <w:rPr>
          <w:rStyle w:val="7"/>
          <w:rFonts w:hint="eastAsia" w:ascii="仿宋_GB2312" w:hAnsi="Adobe 仿宋 Std R" w:eastAsia="仿宋_GB2312"/>
          <w:b/>
          <w:sz w:val="32"/>
          <w:szCs w:val="32"/>
        </w:rPr>
      </w:pPr>
      <w:r>
        <w:rPr>
          <w:rStyle w:val="7"/>
          <w:rFonts w:hint="eastAsia" w:ascii="仿宋_GB2312" w:hAnsi="Adobe 仿宋 Std R" w:eastAsia="仿宋_GB2312"/>
          <w:b/>
          <w:sz w:val="32"/>
          <w:szCs w:val="32"/>
        </w:rPr>
        <w:t>（五）国有资本经营情况</w:t>
      </w:r>
    </w:p>
    <w:p>
      <w:pPr>
        <w:ind w:firstLine="640" w:firstLineChars="200"/>
        <w:rPr>
          <w:rFonts w:hint="eastAsia" w:ascii="仿宋_GB2312" w:hAnsi="仿宋" w:eastAsia="仿宋_GB2312"/>
          <w:sz w:val="32"/>
          <w:szCs w:val="32"/>
        </w:rPr>
      </w:pPr>
      <w:r>
        <w:rPr>
          <w:rStyle w:val="7"/>
          <w:rFonts w:hint="eastAsia" w:ascii="仿宋_GB2312" w:hAnsi="仿宋" w:eastAsia="仿宋_GB2312"/>
          <w:sz w:val="32"/>
          <w:szCs w:val="32"/>
        </w:rPr>
        <w:t>本部门2022年国有资本经营支出预算为</w:t>
      </w:r>
      <w:r>
        <w:rPr>
          <w:rFonts w:hint="eastAsia" w:ascii="仿宋_GB2312" w:hAnsi="仿宋" w:eastAsia="仿宋_GB2312"/>
          <w:kern w:val="0"/>
          <w:sz w:val="32"/>
          <w:szCs w:val="32"/>
        </w:rPr>
        <w:t>0万元。</w:t>
      </w:r>
      <w:r>
        <w:rPr>
          <w:rFonts w:hint="eastAsia" w:ascii="仿宋_GB2312" w:hAnsi="仿宋" w:eastAsia="仿宋_GB2312"/>
          <w:sz w:val="32"/>
          <w:szCs w:val="32"/>
        </w:rPr>
        <w:fldChar w:fldCharType="begin"/>
      </w:r>
      <w:r>
        <w:rPr>
          <w:rStyle w:val="7"/>
          <w:rFonts w:hint="eastAsia" w:ascii="仿宋_GB2312" w:hAnsi="仿宋" w:eastAsia="仿宋_GB2312"/>
          <w:sz w:val="32"/>
          <w:szCs w:val="32"/>
        </w:rPr>
        <w:instrText xml:space="preserve">MERGEFIELD ${page400644146.ds215660413_REP_BGT_T_HC1100002019_DXQ02_S_AMTGYZBJYYSZJ}</w:instrText>
      </w:r>
      <w:r>
        <w:rPr>
          <w:rFonts w:hint="eastAsia" w:ascii="仿宋_GB2312" w:hAnsi="仿宋" w:eastAsia="仿宋_GB2312"/>
          <w:sz w:val="32"/>
          <w:szCs w:val="32"/>
        </w:rPr>
        <w:fldChar w:fldCharType="end"/>
      </w:r>
      <w:r>
        <w:rPr>
          <w:rStyle w:val="7"/>
          <w:rFonts w:hint="eastAsia" w:ascii="仿宋_GB2312" w:hAnsi="仿宋" w:eastAsia="仿宋_GB2312"/>
          <w:sz w:val="32"/>
          <w:szCs w:val="32"/>
        </w:rPr>
        <w:t>没有使用国有资本经营预算拨款安排的支出。</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b/>
          <w:sz w:val="32"/>
          <w:szCs w:val="32"/>
        </w:rPr>
        <w:t>（六）机关运行经费等重要事项的说明</w:t>
      </w:r>
    </w:p>
    <w:p>
      <w:pPr>
        <w:widowControl/>
        <w:spacing w:line="580" w:lineRule="exact"/>
        <w:ind w:firstLine="636"/>
        <w:jc w:val="left"/>
        <w:rPr>
          <w:rFonts w:hint="eastAsia" w:ascii="仿宋_GB2312" w:hAnsi="仿宋" w:eastAsia="仿宋_GB2312" w:cs="仿宋"/>
          <w:sz w:val="32"/>
          <w:szCs w:val="32"/>
        </w:rPr>
      </w:pPr>
      <w:r>
        <w:rPr>
          <w:rFonts w:hint="eastAsia" w:ascii="仿宋_GB2312" w:hAnsi="仿宋" w:eastAsia="仿宋_GB2312" w:cs="仿宋"/>
          <w:sz w:val="32"/>
          <w:szCs w:val="32"/>
        </w:rPr>
        <w:t>2022年本部门机关运行经费为</w:t>
      </w:r>
      <w:r>
        <w:rPr>
          <w:rFonts w:hint="eastAsia" w:ascii="仿宋_GB2312" w:hAnsi="仿宋" w:eastAsia="仿宋_GB2312" w:cs="仿宋"/>
          <w:b/>
          <w:sz w:val="32"/>
          <w:szCs w:val="32"/>
        </w:rPr>
        <w:t>36.45</w:t>
      </w:r>
      <w:r>
        <w:rPr>
          <w:rFonts w:hint="eastAsia" w:ascii="仿宋_GB2312" w:hAnsi="仿宋" w:eastAsia="仿宋_GB2312" w:cs="仿宋"/>
          <w:sz w:val="32"/>
          <w:szCs w:val="32"/>
        </w:rPr>
        <w:t>万元。（机关运行经费来源为部门预算批复表中——《部门收支预算总表》的“商品和服务支出”+“其他资本性支出”），较上年增加14.25万元，增长64.19%。增加的主要原因是事业单位机构合并，增加7人。</w:t>
      </w:r>
    </w:p>
    <w:p>
      <w:pPr>
        <w:widowControl/>
        <w:spacing w:line="580" w:lineRule="exact"/>
        <w:ind w:firstLine="640"/>
        <w:jc w:val="left"/>
        <w:rPr>
          <w:rFonts w:hint="eastAsia" w:ascii="仿宋_GB2312" w:hAnsi="仿宋" w:eastAsia="仿宋_GB2312" w:cs="仿宋"/>
          <w:b/>
          <w:sz w:val="32"/>
          <w:szCs w:val="32"/>
        </w:rPr>
      </w:pPr>
      <w:r>
        <w:rPr>
          <w:rFonts w:hint="eastAsia" w:ascii="仿宋_GB2312" w:hAnsi="仿宋" w:eastAsia="仿宋_GB2312" w:cs="仿宋"/>
          <w:b/>
          <w:sz w:val="32"/>
          <w:szCs w:val="32"/>
        </w:rPr>
        <w:t>（七）政府采购情况</w:t>
      </w:r>
    </w:p>
    <w:p>
      <w:pPr>
        <w:widowControl/>
        <w:spacing w:line="580" w:lineRule="exact"/>
        <w:ind w:firstLine="800" w:firstLineChars="250"/>
        <w:jc w:val="left"/>
        <w:rPr>
          <w:rFonts w:hint="eastAsia" w:ascii="仿宋_GB2312" w:hAnsi="仿宋" w:eastAsia="仿宋_GB2312" w:cs="仿宋"/>
          <w:sz w:val="32"/>
          <w:szCs w:val="32"/>
        </w:rPr>
      </w:pPr>
      <w:r>
        <w:rPr>
          <w:rFonts w:hint="eastAsia" w:ascii="仿宋_GB2312" w:hAnsi="仿宋" w:eastAsia="仿宋_GB2312" w:cs="仿宋"/>
          <w:sz w:val="32"/>
          <w:szCs w:val="32"/>
        </w:rPr>
        <w:t>2022年部门所属各单位政府采购总额</w:t>
      </w:r>
      <w:r>
        <w:rPr>
          <w:rFonts w:hint="eastAsia" w:ascii="仿宋_GB2312" w:hAnsi="仿宋" w:eastAsia="仿宋_GB2312" w:cs="仿宋"/>
          <w:sz w:val="32"/>
          <w:szCs w:val="32"/>
          <w:u w:val="single"/>
        </w:rPr>
        <w:t>4237.04</w:t>
      </w:r>
      <w:r>
        <w:rPr>
          <w:rFonts w:hint="eastAsia" w:ascii="仿宋_GB2312" w:hAnsi="仿宋" w:eastAsia="仿宋_GB2312" w:cs="仿宋"/>
          <w:sz w:val="32"/>
          <w:szCs w:val="32"/>
        </w:rPr>
        <w:t>万元，其中：政府采购货物预算</w:t>
      </w:r>
      <w:r>
        <w:rPr>
          <w:rFonts w:hint="eastAsia" w:ascii="仿宋_GB2312" w:hAnsi="仿宋" w:eastAsia="仿宋_GB2312" w:cs="仿宋"/>
          <w:sz w:val="32"/>
          <w:szCs w:val="32"/>
          <w:u w:val="single"/>
        </w:rPr>
        <w:t xml:space="preserve"> 203.03</w:t>
      </w:r>
      <w:r>
        <w:rPr>
          <w:rFonts w:hint="eastAsia" w:ascii="仿宋_GB2312" w:hAnsi="仿宋" w:eastAsia="仿宋_GB2312" w:cs="仿宋"/>
          <w:sz w:val="32"/>
          <w:szCs w:val="32"/>
        </w:rPr>
        <w:t>万元、政府采购工程预算</w:t>
      </w:r>
      <w:r>
        <w:rPr>
          <w:rFonts w:hint="eastAsia" w:ascii="仿宋_GB2312" w:hAnsi="仿宋" w:eastAsia="仿宋_GB2312" w:cs="仿宋"/>
          <w:sz w:val="32"/>
          <w:szCs w:val="32"/>
          <w:u w:val="single"/>
        </w:rPr>
        <w:t xml:space="preserve"> 0 </w:t>
      </w:r>
      <w:r>
        <w:rPr>
          <w:rFonts w:hint="eastAsia" w:ascii="仿宋_GB2312" w:hAnsi="仿宋" w:eastAsia="仿宋_GB2312" w:cs="仿宋"/>
          <w:sz w:val="32"/>
          <w:szCs w:val="32"/>
        </w:rPr>
        <w:t>万元、政府采购服务预算</w:t>
      </w:r>
      <w:r>
        <w:rPr>
          <w:rFonts w:hint="eastAsia" w:ascii="仿宋_GB2312" w:hAnsi="仿宋" w:eastAsia="仿宋_GB2312" w:cs="仿宋"/>
          <w:sz w:val="32"/>
          <w:szCs w:val="32"/>
          <w:u w:val="single"/>
        </w:rPr>
        <w:t>4034.01</w:t>
      </w:r>
      <w:r>
        <w:rPr>
          <w:rFonts w:hint="eastAsia" w:ascii="仿宋_GB2312" w:hAnsi="仿宋" w:eastAsia="仿宋_GB2312" w:cs="仿宋"/>
          <w:sz w:val="32"/>
          <w:szCs w:val="32"/>
        </w:rPr>
        <w:t>万元。</w:t>
      </w:r>
    </w:p>
    <w:p>
      <w:pPr>
        <w:widowControl/>
        <w:spacing w:line="580" w:lineRule="exact"/>
        <w:ind w:firstLine="640"/>
        <w:jc w:val="left"/>
        <w:rPr>
          <w:rFonts w:hint="eastAsia" w:ascii="仿宋_GB2312" w:hAnsi="仿宋" w:eastAsia="仿宋_GB2312" w:cs="仿宋"/>
          <w:b/>
          <w:color w:val="000000" w:themeColor="text1"/>
          <w:sz w:val="32"/>
          <w:szCs w:val="32"/>
        </w:rPr>
      </w:pPr>
      <w:r>
        <w:rPr>
          <w:rFonts w:hint="eastAsia" w:ascii="仿宋_GB2312" w:hAnsi="仿宋" w:eastAsia="仿宋_GB2312" w:cs="仿宋"/>
          <w:b/>
          <w:color w:val="000000" w:themeColor="text1"/>
          <w:sz w:val="32"/>
          <w:szCs w:val="32"/>
        </w:rPr>
        <w:t>（八）国有资产占有使用情况</w:t>
      </w:r>
    </w:p>
    <w:p>
      <w:pPr>
        <w:widowControl/>
        <w:spacing w:line="580" w:lineRule="exact"/>
        <w:ind w:firstLine="800" w:firstLineChars="250"/>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样式：截至2021年12月31日，部门共有车辆3辆，其中，一般公务用车1辆，执法执勤用车2辆。</w:t>
      </w:r>
    </w:p>
    <w:p>
      <w:pPr>
        <w:widowControl/>
        <w:spacing w:line="580" w:lineRule="exact"/>
        <w:ind w:firstLine="800" w:firstLineChars="250"/>
        <w:jc w:val="left"/>
        <w:rPr>
          <w:rFonts w:hint="eastAsia" w:ascii="仿宋_GB2312" w:hAnsi="仿宋" w:eastAsia="仿宋_GB2312" w:cs="仿宋"/>
          <w:color w:val="000000" w:themeColor="text1"/>
          <w:sz w:val="32"/>
          <w:szCs w:val="32"/>
        </w:rPr>
      </w:pPr>
      <w:r>
        <w:rPr>
          <w:rFonts w:hint="eastAsia" w:ascii="仿宋_GB2312" w:hAnsi="仿宋" w:eastAsia="仿宋_GB2312" w:cs="仿宋"/>
          <w:color w:val="000000" w:themeColor="text1"/>
          <w:sz w:val="32"/>
          <w:szCs w:val="32"/>
        </w:rPr>
        <w:t>2022年部门预算未安排购置车辆，</w:t>
      </w:r>
    </w:p>
    <w:p>
      <w:pPr>
        <w:widowControl/>
        <w:spacing w:line="580" w:lineRule="exact"/>
        <w:ind w:firstLine="640"/>
        <w:jc w:val="left"/>
        <w:rPr>
          <w:rFonts w:hint="eastAsia" w:ascii="仿宋_GB2312" w:hAnsi="仿宋" w:eastAsia="仿宋_GB2312" w:cs="仿宋"/>
          <w:b/>
          <w:sz w:val="32"/>
          <w:szCs w:val="32"/>
        </w:rPr>
      </w:pPr>
      <w:r>
        <w:rPr>
          <w:rFonts w:hint="eastAsia" w:ascii="仿宋_GB2312" w:hAnsi="仿宋" w:eastAsia="仿宋_GB2312" w:cs="仿宋"/>
          <w:b/>
          <w:kern w:val="0"/>
          <w:sz w:val="32"/>
          <w:szCs w:val="32"/>
        </w:rPr>
        <w:t>二、</w:t>
      </w:r>
      <w:r>
        <w:rPr>
          <w:rFonts w:hint="eastAsia" w:ascii="仿宋_GB2312" w:hAnsi="仿宋" w:eastAsia="仿宋_GB2312" w:cs="仿宋"/>
          <w:b/>
          <w:sz w:val="32"/>
          <w:szCs w:val="32"/>
        </w:rPr>
        <w:t>2022年“三公”经费预算情况说明</w:t>
      </w:r>
    </w:p>
    <w:p>
      <w:pPr>
        <w:widowControl/>
        <w:spacing w:line="580" w:lineRule="exact"/>
        <w:ind w:firstLine="640"/>
        <w:jc w:val="left"/>
        <w:rPr>
          <w:rFonts w:hint="eastAsia" w:ascii="仿宋_GB2312" w:hAnsi="仿宋" w:eastAsia="仿宋_GB2312" w:cs="仿宋"/>
          <w:b/>
          <w:sz w:val="32"/>
          <w:szCs w:val="32"/>
        </w:rPr>
      </w:pPr>
      <w:r>
        <w:rPr>
          <w:rFonts w:hint="eastAsia" w:ascii="仿宋_GB2312" w:hAnsi="仿宋" w:eastAsia="仿宋_GB2312" w:cs="仿宋"/>
          <w:sz w:val="32"/>
          <w:szCs w:val="32"/>
        </w:rPr>
        <w:t>2022年南昌经济技术开发区综治中心“三公”经费年初预算安排9.9万元。其中：</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1、因公出国（境）费0万元，比上年无增（减）。</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2、公务接待费1万元，比上年增0.6万元，主要原因是：事业单位机构改革，增加人员及工作。</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3、公务用车运行维护费8.9万元，比上年增0.9万元，主要原因是：2辆执法执勤运兵车任务重。</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4、公务用车购置费0万元，比上年无增（减）。</w:t>
      </w:r>
    </w:p>
    <w:p>
      <w:pPr>
        <w:widowControl/>
        <w:spacing w:line="580" w:lineRule="exact"/>
        <w:jc w:val="left"/>
        <w:rPr>
          <w:rFonts w:hint="eastAsia" w:ascii="仿宋_GB2312" w:hAnsi="仿宋" w:eastAsia="仿宋_GB2312" w:cs="仿宋"/>
          <w:b/>
          <w:color w:val="FF0000"/>
          <w:kern w:val="0"/>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32"/>
          <w:szCs w:val="32"/>
        </w:rPr>
      </w:pPr>
    </w:p>
    <w:p>
      <w:pPr>
        <w:widowControl/>
        <w:spacing w:line="580" w:lineRule="exact"/>
        <w:jc w:val="left"/>
        <w:rPr>
          <w:rFonts w:hint="eastAsia" w:ascii="仿宋_GB2312" w:hAnsi="楷体" w:eastAsia="仿宋_GB2312" w:cs="楷体"/>
          <w:b/>
          <w:sz w:val="44"/>
          <w:szCs w:val="44"/>
        </w:rPr>
      </w:pPr>
      <w:r>
        <w:rPr>
          <w:rFonts w:hint="eastAsia" w:ascii="仿宋_GB2312" w:hAnsi="楷体" w:eastAsia="仿宋_GB2312" w:cs="楷体"/>
          <w:b/>
          <w:sz w:val="44"/>
          <w:szCs w:val="44"/>
        </w:rPr>
        <w:t>第三部分  南昌经济技术开发区综治中心2022年部门预算表</w:t>
      </w:r>
    </w:p>
    <w:p>
      <w:pPr>
        <w:widowControl/>
        <w:spacing w:line="580" w:lineRule="exact"/>
        <w:ind w:firstLine="640" w:firstLineChars="200"/>
        <w:jc w:val="left"/>
        <w:rPr>
          <w:rFonts w:hint="eastAsia" w:ascii="仿宋_GB2312" w:hAnsi="仿宋" w:eastAsia="仿宋_GB2312" w:cs="仿宋"/>
          <w:sz w:val="32"/>
          <w:szCs w:val="32"/>
        </w:rPr>
      </w:pPr>
      <w:r>
        <w:rPr>
          <w:rFonts w:hint="eastAsia" w:ascii="仿宋_GB2312" w:hAnsi="仿宋" w:eastAsia="仿宋_GB2312" w:cs="仿宋"/>
          <w:sz w:val="32"/>
          <w:szCs w:val="32"/>
        </w:rPr>
        <w:t>十一张表（详见附表）</w:t>
      </w: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p>
    <w:p>
      <w:pPr>
        <w:widowControl/>
        <w:spacing w:line="580" w:lineRule="exact"/>
        <w:ind w:firstLine="640"/>
        <w:jc w:val="left"/>
        <w:rPr>
          <w:rFonts w:hint="eastAsia" w:ascii="仿宋_GB2312" w:hAnsi="楷体" w:eastAsia="仿宋_GB2312" w:cs="楷体"/>
          <w:b/>
          <w:sz w:val="32"/>
          <w:szCs w:val="32"/>
        </w:rPr>
      </w:pPr>
      <w:r>
        <w:rPr>
          <w:rFonts w:hint="eastAsia" w:ascii="仿宋_GB2312" w:hAnsi="楷体" w:eastAsia="仿宋_GB2312" w:cs="楷体"/>
          <w:b/>
          <w:sz w:val="32"/>
          <w:szCs w:val="32"/>
        </w:rPr>
        <w:t>第四部分   名词解释</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一、收入科目</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各部门结合实际进行解释。</w:t>
      </w:r>
    </w:p>
    <w:p>
      <w:pPr>
        <w:widowControl/>
        <w:numPr>
          <w:ilvl w:val="0"/>
          <w:numId w:val="2"/>
        </w:numPr>
        <w:spacing w:line="60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财政拨款：指财政当年拨付的资金。</w:t>
      </w:r>
    </w:p>
    <w:p>
      <w:pPr>
        <w:widowControl/>
        <w:numPr>
          <w:ilvl w:val="0"/>
          <w:numId w:val="2"/>
        </w:numPr>
        <w:spacing w:line="600" w:lineRule="exact"/>
        <w:ind w:firstLine="640"/>
        <w:jc w:val="left"/>
        <w:rPr>
          <w:rFonts w:hint="eastAsia" w:ascii="仿宋_GB2312" w:eastAsia="仿宋_GB2312"/>
          <w:color w:val="000000"/>
          <w:sz w:val="32"/>
          <w:szCs w:val="32"/>
        </w:rPr>
      </w:pPr>
      <w:r>
        <w:rPr>
          <w:rFonts w:hint="eastAsia" w:ascii="仿宋_GB2312" w:eastAsia="仿宋_GB2312"/>
          <w:color w:val="000000"/>
          <w:sz w:val="32"/>
          <w:szCs w:val="32"/>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hint="eastAsia" w:ascii="仿宋_GB2312" w:eastAsia="仿宋_GB2312"/>
          <w:color w:val="000000"/>
          <w:sz w:val="32"/>
          <w:szCs w:val="32"/>
        </w:rPr>
      </w:pPr>
      <w:r>
        <w:rPr>
          <w:rFonts w:hint="eastAsia" w:ascii="仿宋_GB2312" w:hAnsi="Adobe 仿宋 Std R" w:eastAsia="仿宋_GB2312"/>
          <w:sz w:val="32"/>
          <w:szCs w:val="32"/>
        </w:rPr>
        <w:t>（三）</w:t>
      </w:r>
      <w:r>
        <w:rPr>
          <w:rFonts w:hint="eastAsia" w:ascii="仿宋_GB2312" w:eastAsia="仿宋_GB2312"/>
          <w:color w:val="000000"/>
          <w:sz w:val="32"/>
          <w:szCs w:val="32"/>
        </w:rPr>
        <w:t>事业收入：指事业单位开展专业业务活动及辅助活动取得的收入。</w:t>
      </w:r>
    </w:p>
    <w:p>
      <w:pPr>
        <w:widowControl/>
        <w:spacing w:line="600" w:lineRule="exact"/>
        <w:ind w:firstLine="636"/>
        <w:jc w:val="left"/>
        <w:rPr>
          <w:rFonts w:hint="eastAsia" w:ascii="仿宋_GB2312" w:eastAsia="仿宋_GB2312"/>
          <w:color w:val="000000"/>
          <w:sz w:val="32"/>
          <w:szCs w:val="32"/>
        </w:rPr>
      </w:pPr>
      <w:r>
        <w:rPr>
          <w:rFonts w:hint="eastAsia" w:ascii="仿宋_GB2312" w:hAnsi="Adobe 仿宋 Std R" w:eastAsia="仿宋_GB2312"/>
          <w:sz w:val="32"/>
          <w:szCs w:val="32"/>
        </w:rPr>
        <w:t>（四）</w:t>
      </w:r>
      <w:r>
        <w:rPr>
          <w:rFonts w:hint="eastAsia" w:ascii="仿宋_GB2312" w:eastAsia="仿宋_GB2312"/>
          <w:color w:val="000000"/>
          <w:sz w:val="32"/>
          <w:szCs w:val="32"/>
        </w:rPr>
        <w:t>事业单位经营收入：指事业单位在专业业务活动及辅助活动之外开展非独立核算经营活动取得的收入。</w:t>
      </w:r>
    </w:p>
    <w:p>
      <w:pPr>
        <w:widowControl/>
        <w:spacing w:line="580" w:lineRule="exact"/>
        <w:ind w:firstLine="636"/>
        <w:jc w:val="left"/>
        <w:rPr>
          <w:rFonts w:hint="eastAsia" w:ascii="仿宋_GB2312" w:hAnsi="Adobe 仿宋 Std R" w:eastAsia="仿宋_GB2312"/>
          <w:sz w:val="32"/>
          <w:szCs w:val="32"/>
        </w:rPr>
      </w:pPr>
      <w:r>
        <w:rPr>
          <w:rFonts w:hint="eastAsia" w:ascii="仿宋_GB2312" w:eastAsia="仿宋_GB2312"/>
          <w:sz w:val="32"/>
          <w:szCs w:val="32"/>
        </w:rPr>
        <w:t>（</w:t>
      </w:r>
      <w:r>
        <w:rPr>
          <w:rFonts w:hint="eastAsia" w:ascii="仿宋_GB2312" w:hAnsi="Adobe 仿宋 Std R" w:eastAsia="仿宋_GB2312"/>
          <w:sz w:val="32"/>
          <w:szCs w:val="32"/>
        </w:rPr>
        <w:t>五）</w:t>
      </w:r>
      <w:r>
        <w:rPr>
          <w:rFonts w:hint="eastAsia" w:ascii="仿宋_GB2312" w:eastAsia="仿宋_GB2312"/>
          <w:color w:val="000000"/>
          <w:sz w:val="32"/>
          <w:szCs w:val="32"/>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hint="eastAsia" w:ascii="仿宋_GB2312" w:eastAsia="仿宋_GB2312"/>
          <w:color w:val="000000"/>
          <w:sz w:val="32"/>
          <w:szCs w:val="32"/>
        </w:rPr>
      </w:pPr>
      <w:r>
        <w:rPr>
          <w:rFonts w:hint="eastAsia" w:ascii="仿宋_GB2312" w:hAnsi="Adobe 仿宋 Std R" w:eastAsia="仿宋_GB2312"/>
          <w:sz w:val="32"/>
          <w:szCs w:val="32"/>
        </w:rPr>
        <w:t>（六）</w:t>
      </w:r>
      <w:r>
        <w:rPr>
          <w:rFonts w:hint="eastAsia" w:ascii="仿宋_GB2312" w:eastAsia="仿宋_GB2312"/>
          <w:color w:val="000000"/>
          <w:sz w:val="32"/>
          <w:szCs w:val="32"/>
        </w:rPr>
        <w:t>上级补助收入：反映事业单位从主管部门和上级单位取得的非财政补助收入。</w:t>
      </w:r>
    </w:p>
    <w:p>
      <w:pPr>
        <w:widowControl/>
        <w:spacing w:line="600" w:lineRule="exact"/>
        <w:ind w:firstLine="636"/>
        <w:jc w:val="left"/>
        <w:rPr>
          <w:rFonts w:hint="eastAsia" w:ascii="仿宋_GB2312" w:eastAsia="仿宋_GB2312"/>
          <w:color w:val="000000"/>
          <w:sz w:val="32"/>
          <w:szCs w:val="32"/>
        </w:rPr>
      </w:pPr>
      <w:r>
        <w:rPr>
          <w:rFonts w:hint="eastAsia" w:ascii="仿宋_GB2312" w:hAnsi="Adobe 仿宋 Std R" w:eastAsia="仿宋_GB2312"/>
          <w:sz w:val="32"/>
          <w:szCs w:val="32"/>
        </w:rPr>
        <w:t>（七）</w:t>
      </w:r>
      <w:r>
        <w:rPr>
          <w:rFonts w:hint="eastAsia" w:ascii="仿宋_GB2312" w:eastAsia="仿宋_GB2312"/>
          <w:color w:val="000000"/>
          <w:sz w:val="32"/>
          <w:szCs w:val="32"/>
        </w:rPr>
        <w:t>其他收入：指除财政拨款、事业收入、事业单位经营收入等以外的各项收入。</w:t>
      </w:r>
    </w:p>
    <w:p>
      <w:pPr>
        <w:ind w:firstLine="640" w:firstLineChars="200"/>
        <w:rPr>
          <w:rFonts w:hint="eastAsia" w:ascii="仿宋_GB2312" w:eastAsia="仿宋_GB2312"/>
          <w:color w:val="000000"/>
          <w:sz w:val="32"/>
          <w:szCs w:val="32"/>
        </w:rPr>
      </w:pPr>
      <w:r>
        <w:rPr>
          <w:rFonts w:hint="eastAsia" w:ascii="仿宋_GB2312" w:hAnsi="Adobe 仿宋 Std R" w:eastAsia="仿宋_GB2312"/>
          <w:sz w:val="32"/>
          <w:szCs w:val="32"/>
        </w:rPr>
        <w:t>（八）</w:t>
      </w:r>
      <w:r>
        <w:rPr>
          <w:rFonts w:hint="eastAsia" w:ascii="仿宋_GB2312" w:eastAsia="仿宋_GB2312"/>
          <w:color w:val="000000"/>
          <w:sz w:val="32"/>
          <w:szCs w:val="32"/>
        </w:rPr>
        <w:t>使用非财政拨款结余：填列历年滚存的非限定用途的非统计财政拨款结余弥补2022年收支差额的数额。</w:t>
      </w:r>
    </w:p>
    <w:p>
      <w:pPr>
        <w:spacing w:line="600" w:lineRule="exact"/>
        <w:ind w:firstLine="640" w:firstLineChars="200"/>
        <w:rPr>
          <w:rFonts w:hint="eastAsia" w:ascii="仿宋_GB2312" w:eastAsia="仿宋_GB2312"/>
          <w:color w:val="000000"/>
          <w:sz w:val="32"/>
          <w:szCs w:val="32"/>
        </w:rPr>
      </w:pPr>
      <w:r>
        <w:rPr>
          <w:rFonts w:hint="eastAsia" w:ascii="仿宋_GB2312" w:hAnsi="Adobe 仿宋 Std R" w:eastAsia="仿宋_GB2312"/>
          <w:sz w:val="32"/>
          <w:szCs w:val="32"/>
        </w:rPr>
        <w:t>（九）</w:t>
      </w:r>
      <w:r>
        <w:rPr>
          <w:rFonts w:hint="eastAsia" w:ascii="仿宋_GB2312" w:eastAsia="仿宋_GB2312"/>
          <w:color w:val="000000"/>
          <w:sz w:val="32"/>
          <w:szCs w:val="32"/>
        </w:rPr>
        <w:t>上年结转和结余：填列2021年全部结转和结余的资金数，包括当年结转结余资金和历年滚存结转结余资金。</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二、支出科目</w:t>
      </w:r>
    </w:p>
    <w:p>
      <w:pPr>
        <w:widowControl/>
        <w:spacing w:line="580" w:lineRule="exact"/>
        <w:ind w:firstLine="640"/>
        <w:jc w:val="left"/>
        <w:rPr>
          <w:rFonts w:hint="eastAsia" w:ascii="仿宋_GB2312" w:hAnsi="仿宋" w:eastAsia="仿宋_GB2312" w:cs="仿宋"/>
          <w:sz w:val="32"/>
          <w:szCs w:val="32"/>
        </w:rPr>
      </w:pPr>
      <w:r>
        <w:rPr>
          <w:rFonts w:hint="eastAsia" w:ascii="仿宋_GB2312" w:hAnsi="仿宋" w:eastAsia="仿宋_GB2312" w:cs="仿宋"/>
          <w:sz w:val="32"/>
          <w:szCs w:val="32"/>
        </w:rPr>
        <w:t>对部门预算中涉及的支出功能分类科目（明细到项级），结合部门实际，参照《2022年政府收支分类科目》的规范说明进行解释。</w:t>
      </w:r>
    </w:p>
    <w:p>
      <w:pPr>
        <w:widowControl/>
        <w:spacing w:line="580" w:lineRule="exact"/>
        <w:ind w:firstLine="640"/>
        <w:jc w:val="left"/>
        <w:rPr>
          <w:rFonts w:hint="eastAsia" w:ascii="仿宋_GB2312" w:hAnsi="仿宋" w:eastAsia="仿宋_GB2312" w:cs="仿宋"/>
          <w:sz w:val="32"/>
          <w:szCs w:val="32"/>
        </w:rPr>
      </w:pPr>
    </w:p>
    <w:p>
      <w:pPr>
        <w:widowControl/>
        <w:spacing w:line="580" w:lineRule="exact"/>
        <w:ind w:firstLine="640"/>
        <w:jc w:val="left"/>
        <w:rPr>
          <w:rFonts w:hint="eastAsia" w:ascii="仿宋_GB2312" w:hAnsi="仿宋" w:eastAsia="仿宋_GB2312" w:cs="仿宋"/>
          <w:sz w:val="32"/>
          <w:szCs w:val="32"/>
        </w:rPr>
      </w:pPr>
    </w:p>
    <w:p>
      <w:pPr>
        <w:widowControl/>
        <w:spacing w:line="580" w:lineRule="exact"/>
        <w:ind w:firstLine="640"/>
        <w:jc w:val="left"/>
        <w:rPr>
          <w:rFonts w:hint="eastAsia" w:ascii="仿宋_GB2312" w:hAnsi="仿宋" w:eastAsia="仿宋_GB2312" w:cs="仿宋"/>
          <w:sz w:val="32"/>
          <w:szCs w:val="32"/>
        </w:rPr>
      </w:pPr>
    </w:p>
    <w:p>
      <w:pPr>
        <w:widowControl/>
        <w:spacing w:line="580" w:lineRule="exact"/>
        <w:ind w:firstLine="640"/>
        <w:jc w:val="left"/>
        <w:rPr>
          <w:rFonts w:hint="eastAsia" w:ascii="仿宋_GB2312" w:hAnsi="仿宋" w:eastAsia="仿宋_GB2312" w:cs="仿宋"/>
          <w:sz w:val="32"/>
          <w:szCs w:val="32"/>
        </w:rPr>
      </w:pPr>
    </w:p>
    <w:p>
      <w:pPr>
        <w:widowControl/>
        <w:spacing w:line="580" w:lineRule="exact"/>
        <w:ind w:firstLine="640"/>
        <w:jc w:val="left"/>
        <w:rPr>
          <w:rFonts w:hint="eastAsia" w:ascii="仿宋_GB2312" w:hAnsi="仿宋" w:eastAsia="仿宋_GB2312" w:cs="仿宋"/>
          <w:sz w:val="32"/>
          <w:szCs w:val="32"/>
        </w:rPr>
      </w:pPr>
    </w:p>
    <w:p>
      <w:pPr>
        <w:widowControl/>
        <w:spacing w:line="580" w:lineRule="exact"/>
        <w:ind w:firstLine="640"/>
        <w:jc w:val="left"/>
        <w:rPr>
          <w:rFonts w:hint="eastAsia" w:ascii="仿宋_GB2312" w:hAnsi="仿宋" w:eastAsia="仿宋_GB2312" w:cs="仿宋"/>
          <w:sz w:val="32"/>
          <w:szCs w:val="32"/>
        </w:rPr>
      </w:pPr>
    </w:p>
    <w:p>
      <w:pPr>
        <w:widowControl/>
        <w:spacing w:line="580" w:lineRule="exact"/>
        <w:ind w:firstLine="640"/>
        <w:jc w:val="right"/>
        <w:rPr>
          <w:rFonts w:hint="eastAsia" w:ascii="仿宋_GB2312" w:hAnsi="仿宋" w:eastAsia="仿宋_GB2312" w:cs="仿宋"/>
          <w:sz w:val="32"/>
          <w:szCs w:val="32"/>
        </w:rPr>
      </w:pPr>
      <w:r>
        <w:rPr>
          <w:rFonts w:hint="eastAsia" w:ascii="仿宋_GB2312" w:hAnsi="仿宋" w:eastAsia="仿宋_GB2312" w:cs="仿宋"/>
          <w:sz w:val="32"/>
          <w:szCs w:val="32"/>
        </w:rPr>
        <w:t>南昌经济技术开发区综治中心</w:t>
      </w:r>
    </w:p>
    <w:p>
      <w:pPr>
        <w:widowControl/>
        <w:spacing w:line="580" w:lineRule="exact"/>
        <w:ind w:right="480" w:firstLine="640"/>
        <w:jc w:val="right"/>
        <w:rPr>
          <w:rFonts w:hint="eastAsia" w:ascii="仿宋_GB2312" w:hAnsi="仿宋" w:eastAsia="仿宋_GB2312" w:cs="仿宋"/>
          <w:sz w:val="32"/>
          <w:szCs w:val="32"/>
        </w:rPr>
      </w:pPr>
      <w:r>
        <w:rPr>
          <w:rFonts w:hint="eastAsia" w:ascii="仿宋_GB2312" w:hAnsi="仿宋" w:eastAsia="仿宋_GB2312" w:cs="仿宋"/>
          <w:sz w:val="32"/>
          <w:szCs w:val="32"/>
        </w:rPr>
        <w:t>2021年12月31日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538E0F28"/>
    <w:multiLevelType w:val="singleLevel"/>
    <w:tmpl w:val="538E0F28"/>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hkNDU1OTY3ZjdiYmU5N2Y4ZjFkODlhNzFkNzNkYTIifQ=="/>
  </w:docVars>
  <w:rsids>
    <w:rsidRoot w:val="36732DE2"/>
    <w:rsid w:val="00085844"/>
    <w:rsid w:val="000C278D"/>
    <w:rsid w:val="000E3F55"/>
    <w:rsid w:val="002B592C"/>
    <w:rsid w:val="002E429E"/>
    <w:rsid w:val="00306253"/>
    <w:rsid w:val="003D7B39"/>
    <w:rsid w:val="004454BF"/>
    <w:rsid w:val="004D6E79"/>
    <w:rsid w:val="005A47D0"/>
    <w:rsid w:val="005F229C"/>
    <w:rsid w:val="006707BB"/>
    <w:rsid w:val="00701AB7"/>
    <w:rsid w:val="009F1014"/>
    <w:rsid w:val="00CA6345"/>
    <w:rsid w:val="00D60FF1"/>
    <w:rsid w:val="00D9437F"/>
    <w:rsid w:val="00E14527"/>
    <w:rsid w:val="00F36467"/>
    <w:rsid w:val="15AD3867"/>
    <w:rsid w:val="36732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row_tree_level_4"/>
    <w:basedOn w:val="5"/>
    <w:qFormat/>
    <w:uiPriority w:val="0"/>
  </w:style>
  <w:style w:type="character" w:customStyle="1" w:styleId="8">
    <w:name w:val="页眉 Char"/>
    <w:basedOn w:val="5"/>
    <w:link w:val="3"/>
    <w:uiPriority w:val="0"/>
    <w:rPr>
      <w:rFonts w:ascii="Times New Roman" w:hAnsi="Times New Roman" w:eastAsia="宋体" w:cs="Times New Roman"/>
      <w:kern w:val="2"/>
      <w:sz w:val="18"/>
      <w:szCs w:val="18"/>
    </w:rPr>
  </w:style>
  <w:style w:type="character" w:customStyle="1" w:styleId="9">
    <w:name w:val="页脚 Char"/>
    <w:basedOn w:val="5"/>
    <w:link w:val="2"/>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2058</Words>
  <Characters>2364</Characters>
  <Lines>18</Lines>
  <Paragraphs>5</Paragraphs>
  <TotalTime>164</TotalTime>
  <ScaleCrop>false</ScaleCrop>
  <LinksUpToDate>false</LinksUpToDate>
  <CharactersWithSpaces>2399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2022-03-22T01:52:00Z</dcterms:created>
  <dc:creator>肥妮</dc:creator>
  <cp:lastModifiedBy>Boom</cp:lastModifiedBy>
  <cp:lastPrinted>2023-03-30T04:51:26Z</cp:lastPrinted>
  <dcterms:modified xsi:type="dcterms:W3CDTF">2023-03-30T05:57:33Z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822010500644474EBB71D61C97379BA6</vt:lpwstr>
  </property>
</Properties>
</file>