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1E77" w14:textId="77777777" w:rsidR="006A243D" w:rsidRPr="006A243D" w:rsidRDefault="006A243D" w:rsidP="006A243D">
      <w:pPr>
        <w:widowControl/>
        <w:spacing w:before="100" w:beforeAutospacing="1" w:after="100" w:afterAutospacing="1"/>
        <w:jc w:val="center"/>
        <w:rPr>
          <w:rFonts w:ascii="宋体" w:hAnsi="宋体" w:cs="宋体"/>
          <w:kern w:val="0"/>
          <w:sz w:val="24"/>
        </w:rPr>
      </w:pPr>
      <w:proofErr w:type="gramStart"/>
      <w:r w:rsidRPr="006A243D">
        <w:rPr>
          <w:rFonts w:ascii="宋体" w:hAnsi="宋体" w:cs="宋体"/>
          <w:kern w:val="0"/>
          <w:sz w:val="18"/>
          <w:szCs w:val="18"/>
        </w:rPr>
        <w:t>洪经工委</w:t>
      </w:r>
      <w:proofErr w:type="gramEnd"/>
      <w:r w:rsidRPr="006A243D">
        <w:rPr>
          <w:rFonts w:ascii="宋体" w:hAnsi="宋体" w:cs="宋体"/>
          <w:kern w:val="0"/>
          <w:sz w:val="18"/>
          <w:szCs w:val="18"/>
        </w:rPr>
        <w:t>〔2019〕15号</w:t>
      </w:r>
    </w:p>
    <w:p w14:paraId="38A8BE6E" w14:textId="77777777" w:rsidR="006A243D" w:rsidRPr="006A243D" w:rsidRDefault="006A243D" w:rsidP="006A243D">
      <w:pPr>
        <w:widowControl/>
        <w:spacing w:before="100" w:beforeAutospacing="1" w:after="100" w:afterAutospacing="1"/>
        <w:jc w:val="center"/>
        <w:rPr>
          <w:rFonts w:ascii="宋体" w:hAnsi="宋体" w:cs="宋体"/>
          <w:kern w:val="0"/>
          <w:sz w:val="24"/>
        </w:rPr>
      </w:pPr>
      <w:r w:rsidRPr="006A243D">
        <w:rPr>
          <w:rFonts w:ascii="宋体" w:hAnsi="宋体" w:cs="宋体"/>
          <w:kern w:val="0"/>
          <w:sz w:val="24"/>
        </w:rPr>
        <w:t>关于印发《南昌经开区（经开组团）重大重点项目协调推进机制的实施意见》的通知</w:t>
      </w:r>
    </w:p>
    <w:p w14:paraId="3C9E5DE6" w14:textId="77777777" w:rsidR="006A243D" w:rsidRPr="006A243D" w:rsidRDefault="006A243D" w:rsidP="006A243D">
      <w:pPr>
        <w:widowControl/>
        <w:spacing w:before="100" w:beforeAutospacing="1" w:after="100" w:afterAutospacing="1"/>
        <w:jc w:val="left"/>
        <w:rPr>
          <w:rFonts w:ascii="宋体" w:hAnsi="宋体" w:cs="宋体"/>
          <w:kern w:val="0"/>
          <w:sz w:val="24"/>
        </w:rPr>
      </w:pPr>
      <w:r w:rsidRPr="006A243D">
        <w:rPr>
          <w:rFonts w:ascii="宋体" w:hAnsi="宋体" w:cs="宋体"/>
          <w:kern w:val="0"/>
          <w:sz w:val="24"/>
        </w:rPr>
        <w:t>各镇处、区机关各部门、驻区各有关单位：</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《南昌经开区（经开组团）重大重点项目协调推进机制的实施意见》已经区党工委、管委会研究同意，现印发给你们，请认真贯彻执行。</w:t>
      </w:r>
    </w:p>
    <w:p w14:paraId="22851587" w14:textId="77777777" w:rsidR="006A243D" w:rsidRPr="006A243D" w:rsidRDefault="006A243D" w:rsidP="006A243D">
      <w:pPr>
        <w:widowControl/>
        <w:spacing w:before="100" w:beforeAutospacing="1" w:after="100" w:afterAutospacing="1"/>
        <w:jc w:val="right"/>
        <w:rPr>
          <w:rFonts w:ascii="宋体" w:hAnsi="宋体" w:cs="宋体"/>
          <w:kern w:val="0"/>
          <w:sz w:val="24"/>
        </w:rPr>
      </w:pP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中共南昌经济技术开发区工作委员会</w:t>
      </w:r>
      <w:r w:rsidRPr="006A243D">
        <w:rPr>
          <w:rFonts w:ascii="宋体" w:hAnsi="宋体" w:cs="宋体"/>
          <w:kern w:val="0"/>
          <w:sz w:val="24"/>
        </w:rPr>
        <w:br/>
        <w:t>南昌经济技术开发区管理委员会</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2019年5月21日</w:t>
      </w:r>
    </w:p>
    <w:p w14:paraId="66978EC4" w14:textId="77777777" w:rsidR="006A243D" w:rsidRPr="006A243D" w:rsidRDefault="006A243D" w:rsidP="006A243D">
      <w:pPr>
        <w:widowControl/>
        <w:spacing w:before="100" w:beforeAutospacing="1" w:after="100" w:afterAutospacing="1"/>
        <w:jc w:val="center"/>
        <w:rPr>
          <w:rFonts w:ascii="宋体" w:hAnsi="宋体" w:cs="宋体"/>
          <w:kern w:val="0"/>
          <w:sz w:val="24"/>
        </w:rPr>
      </w:pPr>
      <w:r w:rsidRPr="006A243D">
        <w:rPr>
          <w:rFonts w:ascii="宋体" w:hAnsi="宋体" w:cs="宋体"/>
          <w:kern w:val="0"/>
          <w:sz w:val="24"/>
        </w:rPr>
        <w:br/>
        <w:t>南昌经开区（经开组团）重大重点项目协调推进机制的实施意见</w:t>
      </w:r>
    </w:p>
    <w:p w14:paraId="5F4CF448" w14:textId="77777777" w:rsidR="006A243D" w:rsidRPr="006A243D" w:rsidRDefault="006A243D" w:rsidP="006A243D">
      <w:pPr>
        <w:widowControl/>
        <w:spacing w:before="100" w:beforeAutospacing="1" w:after="100" w:afterAutospacing="1"/>
        <w:jc w:val="left"/>
        <w:rPr>
          <w:rFonts w:ascii="宋体" w:hAnsi="宋体" w:cs="宋体"/>
          <w:kern w:val="0"/>
          <w:sz w:val="24"/>
        </w:rPr>
      </w:pP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为进一步加强全区项目建设、推进新一轮“两大行动”早日落地见效，形成大抓项目、抓大项目的长效工作机制，特制定本意见。</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一、工作思路</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坚持“高位推动、分类推进、专人服务、统筹协调、强化责任”的原则，建立健全由一个领导机构综合协调推进、六大机制保障、一个专门服务机构具体跟踪落实的项目协调推进工作机制（简称：“一六一”工作机制）。</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二、组织领导</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成立南昌经开区(经开组团)重大重点项目推进工作领导小组（以下简称“领导小组”），区工委书记任第一组长，区管委会主任</w:t>
      </w:r>
      <w:proofErr w:type="gramStart"/>
      <w:r w:rsidRPr="006A243D">
        <w:rPr>
          <w:rFonts w:ascii="宋体" w:hAnsi="宋体" w:cs="宋体"/>
          <w:kern w:val="0"/>
          <w:sz w:val="24"/>
        </w:rPr>
        <w:t>任</w:t>
      </w:r>
      <w:proofErr w:type="gramEnd"/>
      <w:r w:rsidRPr="006A243D">
        <w:rPr>
          <w:rFonts w:ascii="宋体" w:hAnsi="宋体" w:cs="宋体"/>
          <w:kern w:val="0"/>
          <w:sz w:val="24"/>
        </w:rPr>
        <w:t>组长，区工委、区管委会班子成员任副组长，区直有关部门、各镇处为成员，主要是负责全区重大重点项目推进的组织领导和综合协调工作。领导小组下设南昌经济技术开发区(经开组团)重大重点项目协调推进办公室（简称：“区项目办”），区项目办为区管委会独立内设机构。</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三、区项目办职责</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（一）负责全区(组团)重大重点项目推进的综合管理、服务协调工作，及时掌握和通报全区(组团)重大重点项目建设的进展和落实情况，协调督办相关部门落实解决项目建设过程中存在的问题和困难。</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（二）负责重大重点项目调度会、现场办公会筹备及会务工作，整理会议纪要，并印发给各成员单位；跟进、督促落实调度会议决定的事项，并综合反馈。</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（三）负责全区(组团)产业项目签约注册后至投产前的跟踪、协调、推进工作和牵头产业项目集中开工、投产活动有关协调推进工作。</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（四）会同有关部门负责重大重点项目推进的督查考核等工作。</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（五）负责报送纳入亮灯软件的产业项目和建设口、建管口、民生口等项目实际进展情况。</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（六）负责每季度向区工委会汇报项目推进情况，项目新签约、新注册、新开工和土地收储、土地出让、区招商局移交区项目办项目和区项目办移交区经发局项目情况以及建设口、建管口、民生</w:t>
      </w:r>
      <w:proofErr w:type="gramStart"/>
      <w:r w:rsidRPr="006A243D">
        <w:rPr>
          <w:rFonts w:ascii="宋体" w:hAnsi="宋体" w:cs="宋体"/>
          <w:kern w:val="0"/>
          <w:sz w:val="24"/>
        </w:rPr>
        <w:t>口项目</w:t>
      </w:r>
      <w:proofErr w:type="gramEnd"/>
      <w:r w:rsidRPr="006A243D">
        <w:rPr>
          <w:rFonts w:ascii="宋体" w:hAnsi="宋体" w:cs="宋体"/>
          <w:kern w:val="0"/>
          <w:sz w:val="24"/>
        </w:rPr>
        <w:t>亮灯推进情况等。</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四、工作机制</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按照全区(组团)项目分类原则，将项目分为产业项目、城市建设项目、城市</w:t>
      </w:r>
      <w:r w:rsidRPr="006A243D">
        <w:rPr>
          <w:rFonts w:ascii="宋体" w:hAnsi="宋体" w:cs="宋体"/>
          <w:kern w:val="0"/>
          <w:sz w:val="24"/>
        </w:rPr>
        <w:lastRenderedPageBreak/>
        <w:t>管理项目、民生社会事业项目四大类。年初由各口牵头部门梳理报送需列入全区(组团)重大重点项目笼子进行推进的项目，由区项目办负责报送全区(组团)产业项目（其中“省、市、新区重大重点项目”、“两行动方案项目”、“三看项目”必须列入），报区管委会审定后纳入亮灯管理系统。由区项目办统一负责亮灯管理系统中产业项目、城市建设项目、城市管理项目、民生社会事业项目四大类项目进度填报。为确保项目推进的实效，所有纳入亮灯管理系统推进的项目，按照如下项目推进的六种机制进行推进。</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一）领导包抓项目机制。纳入全区(组团)重大重点项目笼子进行推进的项目按照“一个项目、一名区领导、一个服务专员、一包到底”的模式实行领导包抓项目机制。挂帅区领导为项目建设的第一责任人，按照“一包到底”的要求，切实负责、定期检查、定期协调、定期调度，及时解决项目建设中存在的问题，确保项目建设按期保质保量完成。</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（二）部门联动机制。各部门、各镇处要有</w:t>
      </w:r>
      <w:proofErr w:type="gramStart"/>
      <w:r w:rsidRPr="006A243D">
        <w:rPr>
          <w:rFonts w:ascii="宋体" w:hAnsi="宋体" w:cs="宋体"/>
          <w:kern w:val="0"/>
          <w:sz w:val="24"/>
        </w:rPr>
        <w:t>担当担责的</w:t>
      </w:r>
      <w:proofErr w:type="gramEnd"/>
      <w:r w:rsidRPr="006A243D">
        <w:rPr>
          <w:rFonts w:ascii="宋体" w:hAnsi="宋体" w:cs="宋体"/>
          <w:kern w:val="0"/>
          <w:sz w:val="24"/>
        </w:rPr>
        <w:t>魄力和能力，从思想上扭转“各自为战”的想法，从行动上增强主动作为的能力。通过强化项目推进的“三层责任”，不断形成项目推进的合力。第一层具体承办责任，建设项目（</w:t>
      </w:r>
      <w:proofErr w:type="gramStart"/>
      <w:r w:rsidRPr="006A243D">
        <w:rPr>
          <w:rFonts w:ascii="宋体" w:hAnsi="宋体" w:cs="宋体"/>
          <w:kern w:val="0"/>
          <w:sz w:val="24"/>
        </w:rPr>
        <w:t>含建管口</w:t>
      </w:r>
      <w:proofErr w:type="gramEnd"/>
      <w:r w:rsidRPr="006A243D">
        <w:rPr>
          <w:rFonts w:ascii="宋体" w:hAnsi="宋体" w:cs="宋体"/>
          <w:kern w:val="0"/>
          <w:sz w:val="24"/>
        </w:rPr>
        <w:t>、民生口项目）的业主单位或牵头单位和产业项目的跟踪单位必须切实履行项目建设的承办和督促责任；第二层是监督责任，各项目的主管部门必须履行监督、调度的职责；第三层是督查问</w:t>
      </w:r>
      <w:proofErr w:type="gramStart"/>
      <w:r w:rsidRPr="006A243D">
        <w:rPr>
          <w:rFonts w:ascii="宋体" w:hAnsi="宋体" w:cs="宋体"/>
          <w:kern w:val="0"/>
          <w:sz w:val="24"/>
        </w:rPr>
        <w:t>责</w:t>
      </w:r>
      <w:proofErr w:type="gramEnd"/>
      <w:r w:rsidRPr="006A243D">
        <w:rPr>
          <w:rFonts w:ascii="宋体" w:hAnsi="宋体" w:cs="宋体"/>
          <w:kern w:val="0"/>
          <w:sz w:val="24"/>
        </w:rPr>
        <w:t>责任，对于项目推进中明确了时间节点但仍完成不了的，按照《区督查管理办法》的程序由区工委</w:t>
      </w:r>
      <w:proofErr w:type="gramStart"/>
      <w:r w:rsidRPr="006A243D">
        <w:rPr>
          <w:rFonts w:ascii="宋体" w:hAnsi="宋体" w:cs="宋体"/>
          <w:kern w:val="0"/>
          <w:sz w:val="24"/>
        </w:rPr>
        <w:t>巡查办</w:t>
      </w:r>
      <w:proofErr w:type="gramEnd"/>
      <w:r w:rsidRPr="006A243D">
        <w:rPr>
          <w:rFonts w:ascii="宋体" w:hAnsi="宋体" w:cs="宋体"/>
          <w:kern w:val="0"/>
          <w:sz w:val="24"/>
        </w:rPr>
        <w:t>和区纪工委监察室分别履行督查、问责的职责。</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（三）挂图亮灯机制。年初由区项目办会同各项目的主管（牵头）部门、区工委</w:t>
      </w:r>
      <w:proofErr w:type="gramStart"/>
      <w:r w:rsidRPr="006A243D">
        <w:rPr>
          <w:rFonts w:ascii="宋体" w:hAnsi="宋体" w:cs="宋体"/>
          <w:kern w:val="0"/>
          <w:sz w:val="24"/>
        </w:rPr>
        <w:t>巡察办</w:t>
      </w:r>
      <w:proofErr w:type="gramEnd"/>
      <w:r w:rsidRPr="006A243D">
        <w:rPr>
          <w:rFonts w:ascii="宋体" w:hAnsi="宋体" w:cs="宋体"/>
          <w:kern w:val="0"/>
          <w:sz w:val="24"/>
        </w:rPr>
        <w:t>对每个项目编制推进计划表和前期手续办理情况一览表后，纳入亮灯管理系统进行推进，各项</w:t>
      </w:r>
      <w:proofErr w:type="gramStart"/>
      <w:r w:rsidRPr="006A243D">
        <w:rPr>
          <w:rFonts w:ascii="宋体" w:hAnsi="宋体" w:cs="宋体"/>
          <w:kern w:val="0"/>
          <w:sz w:val="24"/>
        </w:rPr>
        <w:t>目推进</w:t>
      </w:r>
      <w:proofErr w:type="gramEnd"/>
      <w:r w:rsidRPr="006A243D">
        <w:rPr>
          <w:rFonts w:ascii="宋体" w:hAnsi="宋体" w:cs="宋体"/>
          <w:kern w:val="0"/>
          <w:sz w:val="24"/>
        </w:rPr>
        <w:t>亮灯情况在区机关大楼显著位置或者电子显示屏、会议室公布，实现“挂图”、“亮灯”。</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（四）项目调度机制。省、市、新区重大重点项目除由相关业务单位向上级对口部门报送后，由区经发局牵头负责向</w:t>
      </w:r>
      <w:proofErr w:type="gramStart"/>
      <w:r w:rsidRPr="006A243D">
        <w:rPr>
          <w:rFonts w:ascii="宋体" w:hAnsi="宋体" w:cs="宋体"/>
          <w:kern w:val="0"/>
          <w:sz w:val="24"/>
        </w:rPr>
        <w:t>市发改委</w:t>
      </w:r>
      <w:proofErr w:type="gramEnd"/>
      <w:r w:rsidRPr="006A243D">
        <w:rPr>
          <w:rFonts w:ascii="宋体" w:hAnsi="宋体" w:cs="宋体"/>
          <w:kern w:val="0"/>
          <w:sz w:val="24"/>
        </w:rPr>
        <w:t>、新区经发局报送，区住建局、区招商局（</w:t>
      </w:r>
      <w:proofErr w:type="gramStart"/>
      <w:r w:rsidRPr="006A243D">
        <w:rPr>
          <w:rFonts w:ascii="宋体" w:hAnsi="宋体" w:cs="宋体"/>
          <w:kern w:val="0"/>
          <w:sz w:val="24"/>
        </w:rPr>
        <w:t>含桑海</w:t>
      </w:r>
      <w:proofErr w:type="gramEnd"/>
      <w:r w:rsidRPr="006A243D">
        <w:rPr>
          <w:rFonts w:ascii="宋体" w:hAnsi="宋体" w:cs="宋体"/>
          <w:kern w:val="0"/>
          <w:sz w:val="24"/>
        </w:rPr>
        <w:t>招商分局、台商工业园项目）、区城环局、区社发局、区项目办、</w:t>
      </w:r>
      <w:proofErr w:type="gramStart"/>
      <w:r w:rsidRPr="006A243D">
        <w:rPr>
          <w:rFonts w:ascii="宋体" w:hAnsi="宋体" w:cs="宋体"/>
          <w:kern w:val="0"/>
          <w:sz w:val="24"/>
        </w:rPr>
        <w:t>儒乐湖</w:t>
      </w:r>
      <w:proofErr w:type="gramEnd"/>
      <w:r w:rsidRPr="006A243D">
        <w:rPr>
          <w:rFonts w:ascii="宋体" w:hAnsi="宋体" w:cs="宋体"/>
          <w:kern w:val="0"/>
          <w:sz w:val="24"/>
        </w:rPr>
        <w:t>新城办、</w:t>
      </w:r>
      <w:proofErr w:type="gramStart"/>
      <w:r w:rsidRPr="006A243D">
        <w:rPr>
          <w:rFonts w:ascii="宋体" w:hAnsi="宋体" w:cs="宋体"/>
          <w:kern w:val="0"/>
          <w:sz w:val="24"/>
        </w:rPr>
        <w:t>中医药科创城建</w:t>
      </w:r>
      <w:proofErr w:type="gramEnd"/>
      <w:r w:rsidRPr="006A243D">
        <w:rPr>
          <w:rFonts w:ascii="宋体" w:hAnsi="宋体" w:cs="宋体"/>
          <w:kern w:val="0"/>
          <w:sz w:val="24"/>
        </w:rPr>
        <w:t>设办、金开集团等单位负责分别向区经发局报送，并作为项目的责任部门。纳入亮灯管理系统的项目实行三层调度机制。首先是项目推进情况专题调度会。由区项目办牵头会同区招商局、区住建局、区社发局、区城环局、区经发局等单位，原则上每月召开一次纳入亮灯管理系统项目的专题调度会，调度产业项目推进情况并通报建口、管口、民生</w:t>
      </w:r>
      <w:proofErr w:type="gramStart"/>
      <w:r w:rsidRPr="006A243D">
        <w:rPr>
          <w:rFonts w:ascii="宋体" w:hAnsi="宋体" w:cs="宋体"/>
          <w:kern w:val="0"/>
          <w:sz w:val="24"/>
        </w:rPr>
        <w:t>口项目</w:t>
      </w:r>
      <w:proofErr w:type="gramEnd"/>
      <w:r w:rsidRPr="006A243D">
        <w:rPr>
          <w:rFonts w:ascii="宋体" w:hAnsi="宋体" w:cs="宋体"/>
          <w:kern w:val="0"/>
          <w:sz w:val="24"/>
        </w:rPr>
        <w:t>亮灯情况；其次是区管委会主任办公会专题调度，对于</w:t>
      </w:r>
      <w:proofErr w:type="gramStart"/>
      <w:r w:rsidRPr="006A243D">
        <w:rPr>
          <w:rFonts w:ascii="宋体" w:hAnsi="宋体" w:cs="宋体"/>
          <w:kern w:val="0"/>
          <w:sz w:val="24"/>
        </w:rPr>
        <w:t>各项目口难以</w:t>
      </w:r>
      <w:proofErr w:type="gramEnd"/>
      <w:r w:rsidRPr="006A243D">
        <w:rPr>
          <w:rFonts w:ascii="宋体" w:hAnsi="宋体" w:cs="宋体"/>
          <w:kern w:val="0"/>
          <w:sz w:val="24"/>
        </w:rPr>
        <w:t>解决的问题，可由区项目办汇总提请区管委会主任办公会调度；最后是区工委会调度，通报推进情况，协调解决项目建设过程中存在的问题。对一些重大重点项目采取分别成立项目推进工作小组的形式，实行模拟机制，提前介入，专题调度，强力推进。</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（五）项目动态管理机制。全面监控，根据项目推进情况调整计划、及时增减项目。所有产业项目归口由区招商局统一负责报送（</w:t>
      </w:r>
      <w:proofErr w:type="gramStart"/>
      <w:r w:rsidRPr="006A243D">
        <w:rPr>
          <w:rFonts w:ascii="宋体" w:hAnsi="宋体" w:cs="宋体"/>
          <w:kern w:val="0"/>
          <w:sz w:val="24"/>
        </w:rPr>
        <w:t>含桑海</w:t>
      </w:r>
      <w:proofErr w:type="gramEnd"/>
      <w:r w:rsidRPr="006A243D">
        <w:rPr>
          <w:rFonts w:ascii="宋体" w:hAnsi="宋体" w:cs="宋体"/>
          <w:kern w:val="0"/>
          <w:sz w:val="24"/>
        </w:rPr>
        <w:t>招商分局、台商工业园项目）签约、注册信息，并在项目签约、注册材料齐全的情况下一个月内，由区招商局主要负责人签字确认后移交区项目办，便于项目的推进和统一管理。根据项目推进情况，及时报区工委会、区管委会主任办公会进行调度或增减。产业项目投产（运营）后，由区项目办和区经发局现场核实后移交，由区经发局对其进行对接服务。</w:t>
      </w:r>
      <w:r w:rsidRPr="006A243D">
        <w:rPr>
          <w:rFonts w:ascii="宋体" w:hAnsi="宋体" w:cs="宋体"/>
          <w:kern w:val="0"/>
          <w:sz w:val="24"/>
        </w:rPr>
        <w:br/>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w:t>
      </w:r>
      <w:r w:rsidRPr="006A243D">
        <w:rPr>
          <w:rFonts w:ascii="宋体" w:hAnsi="宋体" w:cs="宋体"/>
          <w:kern w:val="0"/>
          <w:sz w:val="24"/>
        </w:rPr>
        <w:t xml:space="preserve"> （六）督查考核机制。区项目办联合区</w:t>
      </w:r>
      <w:proofErr w:type="gramStart"/>
      <w:r w:rsidRPr="006A243D">
        <w:rPr>
          <w:rFonts w:ascii="宋体" w:hAnsi="宋体" w:cs="宋体"/>
          <w:kern w:val="0"/>
          <w:sz w:val="24"/>
        </w:rPr>
        <w:t>巡查办</w:t>
      </w:r>
      <w:proofErr w:type="gramEnd"/>
      <w:r w:rsidRPr="006A243D">
        <w:rPr>
          <w:rFonts w:ascii="宋体" w:hAnsi="宋体" w:cs="宋体"/>
          <w:kern w:val="0"/>
          <w:sz w:val="24"/>
        </w:rPr>
        <w:t>及各牵头单位每月定期或不定</w:t>
      </w:r>
      <w:r w:rsidRPr="006A243D">
        <w:rPr>
          <w:rFonts w:ascii="宋体" w:hAnsi="宋体" w:cs="宋体"/>
          <w:kern w:val="0"/>
          <w:sz w:val="24"/>
        </w:rPr>
        <w:lastRenderedPageBreak/>
        <w:t>期对纳入亮灯管理系统推进的产业项目、城市建设项目、城市管理项目、民生社会事业项目进行巡查并核对项目亮灯管理系统中各项目的进展情况。将项目推进工作纳入全区的绩效考核并充分体现其考核的分值，为强化项目推进责任的落实，由区项目办会同区工委</w:t>
      </w:r>
      <w:proofErr w:type="gramStart"/>
      <w:r w:rsidRPr="006A243D">
        <w:rPr>
          <w:rFonts w:ascii="宋体" w:hAnsi="宋体" w:cs="宋体"/>
          <w:kern w:val="0"/>
          <w:sz w:val="24"/>
        </w:rPr>
        <w:t>巡查办</w:t>
      </w:r>
      <w:proofErr w:type="gramEnd"/>
      <w:r w:rsidRPr="006A243D">
        <w:rPr>
          <w:rFonts w:ascii="宋体" w:hAnsi="宋体" w:cs="宋体"/>
          <w:kern w:val="0"/>
          <w:sz w:val="24"/>
        </w:rPr>
        <w:t>制定项目推进考核奖惩办法，按月组织实施日常督查，分季度和年度组织考核，实行考核结果与责任人绩效工资直接挂钩。</w:t>
      </w:r>
      <w:r w:rsidRPr="006A243D">
        <w:rPr>
          <w:rFonts w:ascii="宋体" w:hAnsi="宋体" w:cs="宋体"/>
          <w:kern w:val="0"/>
          <w:sz w:val="24"/>
        </w:rPr>
        <w:br/>
      </w:r>
      <w:r w:rsidRPr="006A243D">
        <w:rPr>
          <w:rFonts w:ascii="宋体" w:hAnsi="宋体" w:cs="宋体"/>
          <w:kern w:val="0"/>
          <w:sz w:val="24"/>
        </w:rPr>
        <w:t> </w:t>
      </w:r>
    </w:p>
    <w:p w14:paraId="36F50B95" w14:textId="77777777" w:rsidR="0052747F" w:rsidRPr="006A243D" w:rsidRDefault="0052747F" w:rsidP="006A243D"/>
    <w:sectPr w:rsidR="0052747F" w:rsidRPr="006A243D" w:rsidSect="00367E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75CD" w14:textId="77777777" w:rsidR="005306DF" w:rsidRDefault="005306DF" w:rsidP="001A0479">
      <w:r>
        <w:separator/>
      </w:r>
    </w:p>
  </w:endnote>
  <w:endnote w:type="continuationSeparator" w:id="0">
    <w:p w14:paraId="65248D45" w14:textId="77777777" w:rsidR="005306DF" w:rsidRDefault="005306DF" w:rsidP="001A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257" w14:textId="77777777" w:rsidR="00CB6088" w:rsidRPr="00CB6088" w:rsidRDefault="00CB6088">
    <w:pPr>
      <w:pStyle w:val="a5"/>
      <w:jc w:val="right"/>
      <w:rPr>
        <w:rFonts w:asciiTheme="minorEastAsia" w:eastAsiaTheme="minorEastAsia" w:hAnsiTheme="minorEastAsia"/>
        <w:sz w:val="28"/>
        <w:szCs w:val="28"/>
      </w:rPr>
    </w:pPr>
    <w:r w:rsidRPr="00CB6088">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docPartObj>
          <w:docPartGallery w:val="Page Numbers (Bottom of Page)"/>
          <w:docPartUnique/>
        </w:docPartObj>
      </w:sdtPr>
      <w:sdtEndPr/>
      <w:sdtContent>
        <w:r w:rsidRPr="00CB6088">
          <w:rPr>
            <w:rFonts w:asciiTheme="minorEastAsia" w:eastAsiaTheme="minorEastAsia" w:hAnsiTheme="minorEastAsia" w:hint="eastAsia"/>
            <w:sz w:val="28"/>
            <w:szCs w:val="28"/>
          </w:rPr>
          <w:t xml:space="preserve"> </w:t>
        </w:r>
        <w:r w:rsidRPr="00CB6088">
          <w:rPr>
            <w:rFonts w:asciiTheme="minorEastAsia" w:eastAsiaTheme="minorEastAsia" w:hAnsiTheme="minorEastAsia"/>
            <w:sz w:val="28"/>
            <w:szCs w:val="28"/>
          </w:rPr>
          <w:fldChar w:fldCharType="begin"/>
        </w:r>
        <w:r w:rsidRPr="00CB6088">
          <w:rPr>
            <w:rFonts w:asciiTheme="minorEastAsia" w:eastAsiaTheme="minorEastAsia" w:hAnsiTheme="minorEastAsia"/>
            <w:sz w:val="28"/>
            <w:szCs w:val="28"/>
          </w:rPr>
          <w:instrText xml:space="preserve"> PAGE   \* MERGEFORMAT </w:instrText>
        </w:r>
        <w:r w:rsidRPr="00CB6088">
          <w:rPr>
            <w:rFonts w:asciiTheme="minorEastAsia" w:eastAsiaTheme="minorEastAsia" w:hAnsiTheme="minorEastAsia"/>
            <w:sz w:val="28"/>
            <w:szCs w:val="28"/>
          </w:rPr>
          <w:fldChar w:fldCharType="separate"/>
        </w:r>
        <w:r w:rsidR="005B1A31" w:rsidRPr="005B1A31">
          <w:rPr>
            <w:rFonts w:asciiTheme="minorEastAsia" w:eastAsiaTheme="minorEastAsia" w:hAnsiTheme="minorEastAsia"/>
            <w:noProof/>
            <w:sz w:val="28"/>
            <w:szCs w:val="28"/>
            <w:lang w:val="zh-CN"/>
          </w:rPr>
          <w:t>1</w:t>
        </w:r>
        <w:r w:rsidRPr="00CB6088">
          <w:rPr>
            <w:rFonts w:asciiTheme="minorEastAsia" w:eastAsiaTheme="minorEastAsia" w:hAnsiTheme="minorEastAsia"/>
            <w:sz w:val="28"/>
            <w:szCs w:val="28"/>
          </w:rPr>
          <w:fldChar w:fldCharType="end"/>
        </w:r>
        <w:r w:rsidRPr="00CB6088">
          <w:rPr>
            <w:rFonts w:asciiTheme="minorEastAsia" w:eastAsiaTheme="minorEastAsia" w:hAnsiTheme="minorEastAsia" w:hint="eastAsia"/>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3AF4" w14:textId="77777777" w:rsidR="005306DF" w:rsidRDefault="005306DF" w:rsidP="001A0479">
      <w:r>
        <w:separator/>
      </w:r>
    </w:p>
  </w:footnote>
  <w:footnote w:type="continuationSeparator" w:id="0">
    <w:p w14:paraId="40C7A88C" w14:textId="77777777" w:rsidR="005306DF" w:rsidRDefault="005306DF" w:rsidP="001A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747F"/>
    <w:rsid w:val="000A741E"/>
    <w:rsid w:val="000E44C7"/>
    <w:rsid w:val="001A0479"/>
    <w:rsid w:val="00276DD3"/>
    <w:rsid w:val="002A5594"/>
    <w:rsid w:val="00302C61"/>
    <w:rsid w:val="00315F42"/>
    <w:rsid w:val="00350086"/>
    <w:rsid w:val="00367E67"/>
    <w:rsid w:val="004B1A2B"/>
    <w:rsid w:val="004B66A6"/>
    <w:rsid w:val="0052747F"/>
    <w:rsid w:val="005306DF"/>
    <w:rsid w:val="005A22F5"/>
    <w:rsid w:val="005B1A31"/>
    <w:rsid w:val="0064451F"/>
    <w:rsid w:val="006849A5"/>
    <w:rsid w:val="006A243D"/>
    <w:rsid w:val="00703C11"/>
    <w:rsid w:val="00714D09"/>
    <w:rsid w:val="0084396D"/>
    <w:rsid w:val="00854F02"/>
    <w:rsid w:val="008902D0"/>
    <w:rsid w:val="008A04D9"/>
    <w:rsid w:val="00A03A18"/>
    <w:rsid w:val="00A31EFF"/>
    <w:rsid w:val="00A41CDF"/>
    <w:rsid w:val="00BB3A6E"/>
    <w:rsid w:val="00BC76A6"/>
    <w:rsid w:val="00C216D9"/>
    <w:rsid w:val="00CB1249"/>
    <w:rsid w:val="00CB6088"/>
    <w:rsid w:val="00DC4EFA"/>
    <w:rsid w:val="00DE160F"/>
    <w:rsid w:val="00DE55E2"/>
    <w:rsid w:val="00E03990"/>
    <w:rsid w:val="00E840EE"/>
    <w:rsid w:val="00E9350B"/>
    <w:rsid w:val="00EB29EA"/>
    <w:rsid w:val="00FC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A853"/>
  <w15:docId w15:val="{EFD0FF5A-CFDC-46D4-86B3-2D3921C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4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A0479"/>
    <w:rPr>
      <w:rFonts w:ascii="Times New Roman" w:eastAsia="宋体" w:hAnsi="Times New Roman" w:cs="Times New Roman"/>
      <w:sz w:val="18"/>
      <w:szCs w:val="18"/>
    </w:rPr>
  </w:style>
  <w:style w:type="paragraph" w:styleId="a5">
    <w:name w:val="footer"/>
    <w:basedOn w:val="a"/>
    <w:link w:val="a6"/>
    <w:uiPriority w:val="99"/>
    <w:unhideWhenUsed/>
    <w:rsid w:val="001A0479"/>
    <w:pPr>
      <w:tabs>
        <w:tab w:val="center" w:pos="4153"/>
        <w:tab w:val="right" w:pos="8306"/>
      </w:tabs>
      <w:snapToGrid w:val="0"/>
      <w:jc w:val="left"/>
    </w:pPr>
    <w:rPr>
      <w:sz w:val="18"/>
      <w:szCs w:val="18"/>
    </w:rPr>
  </w:style>
  <w:style w:type="character" w:customStyle="1" w:styleId="a6">
    <w:name w:val="页脚 字符"/>
    <w:basedOn w:val="a0"/>
    <w:link w:val="a5"/>
    <w:uiPriority w:val="99"/>
    <w:rsid w:val="001A0479"/>
    <w:rPr>
      <w:rFonts w:ascii="Times New Roman" w:eastAsia="宋体" w:hAnsi="Times New Roman" w:cs="Times New Roman"/>
      <w:sz w:val="18"/>
      <w:szCs w:val="18"/>
    </w:rPr>
  </w:style>
  <w:style w:type="paragraph" w:styleId="a7">
    <w:name w:val="Normal (Web)"/>
    <w:basedOn w:val="a"/>
    <w:uiPriority w:val="99"/>
    <w:rsid w:val="00A31EFF"/>
    <w:pPr>
      <w:spacing w:before="100" w:beforeAutospacing="1" w:after="100" w:afterAutospacing="1"/>
      <w:jc w:val="left"/>
    </w:pPr>
    <w:rPr>
      <w:rFonts w:ascii="Calibri" w:hAnsi="Calibri"/>
      <w:kern w:val="0"/>
      <w:sz w:val="24"/>
    </w:rPr>
  </w:style>
  <w:style w:type="paragraph" w:customStyle="1" w:styleId="msonormal0">
    <w:name w:val="msonormal"/>
    <w:basedOn w:val="a"/>
    <w:rsid w:val="00C216D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C216D9"/>
    <w:rPr>
      <w:b/>
      <w:bCs/>
    </w:rPr>
  </w:style>
  <w:style w:type="paragraph" w:styleId="a9">
    <w:name w:val="Body Text"/>
    <w:basedOn w:val="a"/>
    <w:link w:val="aa"/>
    <w:uiPriority w:val="99"/>
    <w:semiHidden/>
    <w:unhideWhenUsed/>
    <w:rsid w:val="00C216D9"/>
    <w:pPr>
      <w:widowControl/>
      <w:spacing w:after="120"/>
      <w:jc w:val="left"/>
    </w:pPr>
    <w:rPr>
      <w:rFonts w:ascii="宋体" w:hAnsi="宋体" w:cs="宋体"/>
      <w:kern w:val="0"/>
      <w:sz w:val="24"/>
    </w:rPr>
  </w:style>
  <w:style w:type="character" w:customStyle="1" w:styleId="aa">
    <w:name w:val="正文文本 字符"/>
    <w:basedOn w:val="a0"/>
    <w:link w:val="a9"/>
    <w:uiPriority w:val="99"/>
    <w:semiHidden/>
    <w:rsid w:val="00C216D9"/>
    <w:rPr>
      <w:rFonts w:ascii="宋体" w:eastAsia="宋体" w:hAnsi="宋体" w:cs="宋体"/>
      <w:kern w:val="0"/>
      <w:sz w:val="24"/>
      <w:szCs w:val="24"/>
    </w:rPr>
  </w:style>
  <w:style w:type="paragraph" w:styleId="ab">
    <w:name w:val="Body Text First Indent"/>
    <w:basedOn w:val="a"/>
    <w:link w:val="ac"/>
    <w:uiPriority w:val="99"/>
    <w:semiHidden/>
    <w:unhideWhenUsed/>
    <w:rsid w:val="00C216D9"/>
    <w:pPr>
      <w:widowControl/>
      <w:spacing w:before="100" w:beforeAutospacing="1" w:after="100" w:afterAutospacing="1"/>
      <w:jc w:val="left"/>
    </w:pPr>
    <w:rPr>
      <w:rFonts w:ascii="宋体" w:hAnsi="宋体" w:cs="宋体"/>
      <w:kern w:val="0"/>
      <w:sz w:val="24"/>
    </w:rPr>
  </w:style>
  <w:style w:type="character" w:customStyle="1" w:styleId="ac">
    <w:name w:val="正文文本首行缩进 字符"/>
    <w:basedOn w:val="aa"/>
    <w:link w:val="ab"/>
    <w:uiPriority w:val="99"/>
    <w:semiHidden/>
    <w:rsid w:val="00C216D9"/>
    <w:rPr>
      <w:rFonts w:ascii="宋体" w:eastAsia="宋体" w:hAnsi="宋体" w:cs="宋体"/>
      <w:kern w:val="0"/>
      <w:sz w:val="24"/>
      <w:szCs w:val="24"/>
    </w:rPr>
  </w:style>
  <w:style w:type="character" w:styleId="ad">
    <w:name w:val="Hyperlink"/>
    <w:basedOn w:val="a0"/>
    <w:uiPriority w:val="99"/>
    <w:semiHidden/>
    <w:unhideWhenUsed/>
    <w:rsid w:val="00C216D9"/>
    <w:rPr>
      <w:color w:val="0000FF"/>
      <w:u w:val="single"/>
    </w:rPr>
  </w:style>
  <w:style w:type="character" w:styleId="ae">
    <w:name w:val="FollowedHyperlink"/>
    <w:basedOn w:val="a0"/>
    <w:uiPriority w:val="99"/>
    <w:semiHidden/>
    <w:unhideWhenUsed/>
    <w:rsid w:val="00C21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795">
      <w:bodyDiv w:val="1"/>
      <w:marLeft w:val="0"/>
      <w:marRight w:val="0"/>
      <w:marTop w:val="0"/>
      <w:marBottom w:val="0"/>
      <w:divBdr>
        <w:top w:val="none" w:sz="0" w:space="0" w:color="auto"/>
        <w:left w:val="none" w:sz="0" w:space="0" w:color="auto"/>
        <w:bottom w:val="none" w:sz="0" w:space="0" w:color="auto"/>
        <w:right w:val="none" w:sz="0" w:space="0" w:color="auto"/>
      </w:divBdr>
    </w:div>
    <w:div w:id="1893419186">
      <w:bodyDiv w:val="1"/>
      <w:marLeft w:val="0"/>
      <w:marRight w:val="0"/>
      <w:marTop w:val="0"/>
      <w:marBottom w:val="0"/>
      <w:divBdr>
        <w:top w:val="none" w:sz="0" w:space="0" w:color="auto"/>
        <w:left w:val="none" w:sz="0" w:space="0" w:color="auto"/>
        <w:bottom w:val="none" w:sz="0" w:space="0" w:color="auto"/>
        <w:right w:val="none" w:sz="0" w:space="0" w:color="auto"/>
      </w:divBdr>
    </w:div>
    <w:div w:id="21269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2F27E5A-0798-4B5F-8DF4-A6B1DE7E15E7}">
  <ds:schemaRefs>
    <ds:schemaRef ds:uri="http://www.yonyou.com/datasource"/>
  </ds:schemaRefs>
</ds:datastoreItem>
</file>

<file path=customXml/itemProps2.xml><?xml version="1.0" encoding="utf-8"?>
<ds:datastoreItem xmlns:ds="http://schemas.openxmlformats.org/officeDocument/2006/customXml" ds:itemID="{392417B1-2BD6-4A38-9C88-571AEE40612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2312</Characters>
  <Application>Microsoft Office Word</Application>
  <DocSecurity>0</DocSecurity>
  <Lines>19</Lines>
  <Paragraphs>5</Paragraphs>
  <ScaleCrop>false</ScaleCrop>
  <Company>中国微软</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 wei</cp:lastModifiedBy>
  <cp:revision>7</cp:revision>
  <cp:lastPrinted>2021-01-19T08:48:00Z</cp:lastPrinted>
  <dcterms:created xsi:type="dcterms:W3CDTF">2021-01-19T08:48:00Z</dcterms:created>
  <dcterms:modified xsi:type="dcterms:W3CDTF">2022-10-09T08:01:00Z</dcterms:modified>
</cp:coreProperties>
</file>