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C" w:rsidRPr="00113250" w:rsidRDefault="006767FC" w:rsidP="006767FC">
      <w:pPr>
        <w:ind w:leftChars="-118" w:left="-248"/>
        <w:rPr>
          <w:rFonts w:ascii="仿宋_GB2312" w:eastAsia="仿宋_GB2312"/>
          <w:sz w:val="32"/>
          <w:szCs w:val="32"/>
        </w:rPr>
      </w:pPr>
      <w:r w:rsidRPr="007B493B">
        <w:rPr>
          <w:rFonts w:ascii="仿宋_GB2312" w:eastAsia="仿宋_GB2312" w:hint="eastAsia"/>
          <w:sz w:val="32"/>
          <w:szCs w:val="32"/>
        </w:rPr>
        <w:t>附件1</w:t>
      </w:r>
    </w:p>
    <w:p w:rsidR="006767FC" w:rsidRDefault="006767FC" w:rsidP="006767FC">
      <w:pPr>
        <w:spacing w:line="700" w:lineRule="exact"/>
        <w:ind w:leftChars="-118" w:left="-248" w:rightChars="-111" w:right="-233"/>
        <w:jc w:val="center"/>
        <w:rPr>
          <w:rFonts w:ascii="方正小标宋简体" w:eastAsia="方正小标宋简体" w:hAnsi="宋体" w:cs="仿宋_GB2312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南昌经开区</w:t>
      </w:r>
      <w:r w:rsidRPr="005F1AE0">
        <w:rPr>
          <w:rFonts w:ascii="方正小标宋简体" w:eastAsia="方正小标宋简体" w:hAnsi="宋体" w:hint="eastAsia"/>
          <w:sz w:val="44"/>
          <w:szCs w:val="44"/>
        </w:rPr>
        <w:t>基层政务公开标准化规范化工作</w:t>
      </w:r>
      <w:r w:rsidRPr="005F1AE0">
        <w:rPr>
          <w:rFonts w:ascii="方正小标宋简体" w:eastAsia="方正小标宋简体" w:hAnsi="宋体" w:cs="仿宋_GB2312" w:hint="eastAsia"/>
          <w:kern w:val="0"/>
          <w:sz w:val="44"/>
          <w:szCs w:val="44"/>
        </w:rPr>
        <w:t>任务分工和进度安排</w:t>
      </w:r>
    </w:p>
    <w:p w:rsidR="006767FC" w:rsidRPr="005F1AE0" w:rsidRDefault="006767FC" w:rsidP="006767FC">
      <w:pPr>
        <w:spacing w:line="240" w:lineRule="exact"/>
        <w:ind w:leftChars="-118" w:left="-248" w:rightChars="-111" w:right="-233"/>
        <w:jc w:val="center"/>
        <w:rPr>
          <w:rFonts w:ascii="方正小标宋简体" w:eastAsia="方正小标宋简体"/>
          <w:szCs w:val="32"/>
        </w:rPr>
      </w:pP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907"/>
        <w:gridCol w:w="2711"/>
        <w:gridCol w:w="2869"/>
        <w:gridCol w:w="2029"/>
      </w:tblGrid>
      <w:tr w:rsidR="006767FC" w:rsidRPr="006D7CD0" w:rsidTr="00F144FD">
        <w:trPr>
          <w:trHeight w:val="501"/>
          <w:tblHeader/>
        </w:trPr>
        <w:tc>
          <w:tcPr>
            <w:tcW w:w="304" w:type="pct"/>
            <w:vAlign w:val="center"/>
          </w:tcPr>
          <w:p w:rsidR="006767FC" w:rsidRDefault="006767FC" w:rsidP="00F144FD">
            <w:pPr>
              <w:spacing w:line="300" w:lineRule="exact"/>
              <w:ind w:leftChars="-48" w:left="-101" w:rightChars="-55" w:right="-115"/>
              <w:jc w:val="center"/>
              <w:rPr>
                <w:rFonts w:asciiTheme="minorEastAsia" w:eastAsiaTheme="minorEastAsia" w:hAnsiTheme="minorEastAsia" w:cs="仿宋_GB2312"/>
                <w:bCs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500" w:type="pct"/>
            <w:vAlign w:val="center"/>
          </w:tcPr>
          <w:p w:rsidR="006767FC" w:rsidRDefault="006767FC" w:rsidP="00F144FD">
            <w:pPr>
              <w:spacing w:line="300" w:lineRule="exact"/>
              <w:ind w:leftChars="-38" w:left="-80" w:rightChars="-39" w:right="-82"/>
              <w:jc w:val="center"/>
              <w:rPr>
                <w:rFonts w:asciiTheme="minorEastAsia" w:eastAsiaTheme="minorEastAsia" w:hAnsiTheme="minorEastAsia" w:cs="仿宋_GB2312"/>
                <w:bCs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bCs/>
                <w:kern w:val="0"/>
                <w:szCs w:val="21"/>
              </w:rPr>
              <w:t>工作任务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bCs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bCs/>
                <w:kern w:val="0"/>
                <w:szCs w:val="21"/>
              </w:rPr>
              <w:t>具体事项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bCs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bCs/>
                <w:kern w:val="0"/>
                <w:szCs w:val="21"/>
              </w:rPr>
              <w:t>主体责任单位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bCs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bCs/>
                <w:kern w:val="0"/>
                <w:szCs w:val="21"/>
              </w:rPr>
              <w:t>完成时间</w:t>
            </w:r>
          </w:p>
        </w:tc>
      </w:tr>
      <w:tr w:rsidR="006767FC" w:rsidRPr="006D7CD0" w:rsidTr="00F144FD">
        <w:trPr>
          <w:trHeight w:val="739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梳理基层政务公开事项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（1）</w:t>
            </w:r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>梳理规范基层政府权责清单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区工管办（行政服务中心）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2020年8月底前</w:t>
            </w:r>
          </w:p>
        </w:tc>
      </w:tr>
      <w:tr w:rsidR="006767FC" w:rsidRPr="006D7CD0" w:rsidTr="00F144FD">
        <w:trPr>
          <w:trHeight w:val="772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（2）梳理规范基层政府公共服务清单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区工管办（行政服务中心）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2020年8月底前</w:t>
            </w:r>
          </w:p>
        </w:tc>
      </w:tr>
      <w:tr w:rsidR="006767FC" w:rsidRPr="006D7CD0" w:rsidTr="00F144FD">
        <w:trPr>
          <w:trHeight w:val="739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（3）</w:t>
            </w:r>
            <w:proofErr w:type="gramStart"/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制定镇处政务</w:t>
            </w:r>
            <w:proofErr w:type="gramEnd"/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公开事项清单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2020年8月底前</w:t>
            </w:r>
          </w:p>
        </w:tc>
      </w:tr>
      <w:tr w:rsidR="006767FC" w:rsidRPr="006D7CD0" w:rsidTr="00F144FD">
        <w:trPr>
          <w:trHeight w:val="1974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编制汇总公开标准目录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（4）</w:t>
            </w:r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 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proofErr w:type="gramStart"/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>个</w:t>
            </w:r>
            <w:proofErr w:type="gramEnd"/>
            <w:r w:rsidRPr="006D7CD0">
              <w:rPr>
                <w:rFonts w:asciiTheme="minorEastAsia" w:eastAsiaTheme="minorEastAsia" w:hAnsiTheme="minorEastAsia" w:hint="eastAsia"/>
                <w:kern w:val="0"/>
                <w:szCs w:val="21"/>
              </w:rPr>
              <w:t>试点领域政务公开标准目录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2020年10月底前</w:t>
            </w:r>
          </w:p>
        </w:tc>
      </w:tr>
      <w:tr w:rsidR="006767FC" w:rsidRPr="006D7CD0" w:rsidTr="00F144FD">
        <w:trPr>
          <w:trHeight w:val="967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（5）建立县、乡两级政务公开标准目录体系并统一公开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2020年11月底前</w:t>
            </w:r>
          </w:p>
        </w:tc>
      </w:tr>
      <w:tr w:rsidR="006767FC" w:rsidRPr="006D7CD0" w:rsidTr="00F144FD">
        <w:trPr>
          <w:trHeight w:val="1904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3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落实其他领域标准指引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（6）系统梳理其他领域政务公开事项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2022年8月底前</w:t>
            </w:r>
          </w:p>
        </w:tc>
      </w:tr>
      <w:tr w:rsidR="006767FC" w:rsidRPr="006D7CD0" w:rsidTr="00F144FD">
        <w:trPr>
          <w:trHeight w:val="1862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（7）制定其他领域政务公开事项清单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2022年8月底前</w:t>
            </w:r>
          </w:p>
        </w:tc>
      </w:tr>
      <w:tr w:rsidR="006767FC" w:rsidRPr="006D7CD0" w:rsidTr="00F144FD">
        <w:trPr>
          <w:trHeight w:val="1891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（8）编制其他领域政务公开标准目录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2022年9底前</w:t>
            </w:r>
          </w:p>
        </w:tc>
      </w:tr>
      <w:tr w:rsidR="006767FC" w:rsidRPr="006D7CD0" w:rsidTr="00F144FD">
        <w:trPr>
          <w:trHeight w:val="1983"/>
        </w:trPr>
        <w:tc>
          <w:tcPr>
            <w:tcW w:w="304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/>
                <w:kern w:val="0"/>
                <w:szCs w:val="21"/>
              </w:rPr>
              <w:lastRenderedPageBreak/>
              <w:br w:type="page"/>
            </w: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3</w:t>
            </w:r>
          </w:p>
        </w:tc>
        <w:tc>
          <w:tcPr>
            <w:tcW w:w="500" w:type="pc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落实其他领域标准指引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（9）建立其他领域县、乡两级政务公开标准目录体系并统一公开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2022年10月底前</w:t>
            </w:r>
          </w:p>
        </w:tc>
      </w:tr>
      <w:tr w:rsidR="006767FC" w:rsidRPr="006D7CD0" w:rsidTr="00F144FD">
        <w:trPr>
          <w:trHeight w:val="2351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4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健全完善政务公开制度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（10）健全完善信息发布、政策解读、舆情回应、重大决策预公开、政府文件公开属性源头认定、政府信息管理、依申请公开、公共企事业单位办事公开、监督考核等制度规范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2020年10月底前</w:t>
            </w:r>
          </w:p>
        </w:tc>
      </w:tr>
      <w:tr w:rsidR="006767FC" w:rsidRPr="006D7CD0" w:rsidTr="00F144FD">
        <w:trPr>
          <w:trHeight w:val="2282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（11）积极探索将政务公开事项标准目录、标准规范嵌入部门业务系统，促进政务公开工作与其他业务工作融合发展；加强集成发布、精准推送、智能查询、整合利用等方面的探索创新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区工管办、区组社部、区安监局、区经发局、区住建局、区社发局、区财金局、区城环局、区公安分局、区自然资源分局、区生态环境局、区市场局、区税务局、各镇处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1395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5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规范基层政务公开平台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（12）各设区市政府全面完成政府网站集约化建设，实现政府网站互联互通、融合发展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1773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（13）县（市、区）政府信息公开平台集中发布政府信息，优化信息检索和下载服务功能，整合设置统一的办事服务入口和互动交流入口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2021年6月底前</w:t>
            </w:r>
          </w:p>
        </w:tc>
      </w:tr>
      <w:tr w:rsidR="006767FC" w:rsidRPr="006D7CD0" w:rsidTr="00F144FD">
        <w:trPr>
          <w:trHeight w:val="1702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（14）加强省市县三级政务新媒体矩阵建设，严格政务新媒体信息采集、审核、发布程序，建立网民意见建议审看处置机制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2021年12月底前</w:t>
            </w:r>
          </w:p>
        </w:tc>
      </w:tr>
      <w:tr w:rsidR="006767FC" w:rsidRPr="006D7CD0" w:rsidTr="00F144FD">
        <w:trPr>
          <w:trHeight w:val="1395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（15）在政务服务大厅、便民服务中心等场所设立标识清楚、方便实用的政务公开专区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区工管办（行政服务中心）</w:t>
            </w:r>
          </w:p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各镇处（便民服务中心）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2021年12月底前</w:t>
            </w:r>
          </w:p>
        </w:tc>
      </w:tr>
      <w:tr w:rsidR="006767FC" w:rsidRPr="006D7CD0" w:rsidTr="00F144FD">
        <w:trPr>
          <w:trHeight w:val="2031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压实舆情处置回应责任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（16）建立政务舆情处置回应工作机制，对省政府办公厅（省政府政务公开办公室）下发的政务舆情处置转办单，及时调查处置，按时反馈情况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2020年5月底前</w:t>
            </w:r>
          </w:p>
        </w:tc>
      </w:tr>
      <w:tr w:rsidR="006767FC" w:rsidRPr="006D7CD0" w:rsidTr="00F144FD">
        <w:trPr>
          <w:trHeight w:val="1982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（17）对涉及多地、多部门的负面舆情，及时</w:t>
            </w:r>
            <w:proofErr w:type="gramStart"/>
            <w:r w:rsidRPr="006D7CD0">
              <w:rPr>
                <w:rFonts w:asciiTheme="minorEastAsia" w:eastAsiaTheme="minorEastAsia" w:hAnsiTheme="minorEastAsia" w:hint="eastAsia"/>
                <w:szCs w:val="21"/>
              </w:rPr>
              <w:t>会同网</w:t>
            </w:r>
            <w:proofErr w:type="gramEnd"/>
            <w:r w:rsidRPr="006D7CD0">
              <w:rPr>
                <w:rFonts w:asciiTheme="minorEastAsia" w:eastAsiaTheme="minorEastAsia" w:hAnsiTheme="minorEastAsia" w:hint="eastAsia"/>
                <w:szCs w:val="21"/>
              </w:rPr>
              <w:t>宣传、信办、公安、通信管理等部门研究确定舆情回应方案和措施，做到快速发声、及时回应。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2020年10月底前</w:t>
            </w:r>
          </w:p>
        </w:tc>
      </w:tr>
      <w:tr w:rsidR="006767FC" w:rsidRPr="006D7CD0" w:rsidTr="00F144FD">
        <w:trPr>
          <w:trHeight w:val="1401"/>
        </w:trPr>
        <w:tc>
          <w:tcPr>
            <w:tcW w:w="304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7</w:t>
            </w:r>
          </w:p>
        </w:tc>
        <w:tc>
          <w:tcPr>
            <w:tcW w:w="500" w:type="pc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加强政策措施阐释解读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（18）出台涉及群众切身利益、需要社会广泛知晓的重大政策措施，同步开展政策解读，并丰富政策解读形式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2541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8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创新基层决策参与方式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（19）在制定与人民群众利益密切相关的重大改革方案、重要政策文件、重大规划计划等重大行政决策时，通过座谈会、听证会、实地走访、公开征求意见、问卷调查多种方式，充分听取公众意见建议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1118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（20）制定公众参与行政决策的事项清单，明确参与的范围和方式，并向社会公布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2021年7月底前</w:t>
            </w:r>
          </w:p>
        </w:tc>
      </w:tr>
      <w:tr w:rsidR="006767FC" w:rsidRPr="006D7CD0" w:rsidTr="00F144FD">
        <w:trPr>
          <w:trHeight w:val="2551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（21）县（市、区）政府常务会议或乡镇人民政府（街道办）讨论研究涉及重大民生问题、社会关注度高的议题，应邀</w:t>
            </w:r>
            <w:proofErr w:type="gramStart"/>
            <w:r w:rsidRPr="006D7CD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请利益</w:t>
            </w:r>
            <w:proofErr w:type="gramEnd"/>
            <w:r w:rsidRPr="006D7CD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相关方、群众代表列席会议，并探索通过网络、新媒体直播等方式向社会公开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2021年9月底前</w:t>
            </w:r>
          </w:p>
        </w:tc>
      </w:tr>
      <w:tr w:rsidR="006767FC" w:rsidRPr="006D7CD0" w:rsidTr="00F144FD">
        <w:trPr>
          <w:trHeight w:val="1508"/>
        </w:trPr>
        <w:tc>
          <w:tcPr>
            <w:tcW w:w="304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9</w:t>
            </w:r>
          </w:p>
        </w:tc>
        <w:tc>
          <w:tcPr>
            <w:tcW w:w="500" w:type="pc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全程公开办事服务事项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（22）及时梳理编制进驻办事大厅的审批服务事项、办事指南等，并通过线上线下全面准确公开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区工管办（行政服务中心）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711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全程公开办事服务事项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（23）编制企业和群众办事一本通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区工管办（行政服务中心）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2021年6月底前</w:t>
            </w:r>
          </w:p>
        </w:tc>
      </w:tr>
      <w:tr w:rsidR="006767FC" w:rsidRPr="006D7CD0" w:rsidTr="00F144FD">
        <w:trPr>
          <w:trHeight w:val="1158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（24）大力推进全省政府网站集约化建设，促进政府网站互联互通、融合发展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2020年12月底前</w:t>
            </w:r>
          </w:p>
        </w:tc>
      </w:tr>
      <w:tr w:rsidR="006767FC" w:rsidRPr="006D7CD0" w:rsidTr="00F144FD">
        <w:trPr>
          <w:trHeight w:val="738"/>
        </w:trPr>
        <w:tc>
          <w:tcPr>
            <w:tcW w:w="304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10</w:t>
            </w:r>
          </w:p>
        </w:tc>
        <w:tc>
          <w:tcPr>
            <w:tcW w:w="500" w:type="pct"/>
            <w:vMerge w:val="restar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  <w:shd w:val="clear" w:color="auto" w:fill="FFFFFF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探索推动村（居）</w:t>
            </w:r>
            <w:proofErr w:type="gramStart"/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务</w:t>
            </w:r>
            <w:proofErr w:type="gramEnd"/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公开机制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（25）建立完善村（居）民委员会公开事项清单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2021年12月底前</w:t>
            </w:r>
          </w:p>
        </w:tc>
      </w:tr>
      <w:tr w:rsidR="006767FC" w:rsidRPr="006D7CD0" w:rsidTr="00F144FD">
        <w:trPr>
          <w:trHeight w:val="766"/>
        </w:trPr>
        <w:tc>
          <w:tcPr>
            <w:tcW w:w="304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（26）探索完善村（居）</w:t>
            </w:r>
            <w:proofErr w:type="gramStart"/>
            <w:r w:rsidRPr="006D7CD0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  <w:r w:rsidRPr="006D7CD0">
              <w:rPr>
                <w:rFonts w:asciiTheme="minorEastAsia" w:eastAsiaTheme="minorEastAsia" w:hAnsiTheme="minorEastAsia" w:hint="eastAsia"/>
                <w:szCs w:val="21"/>
              </w:rPr>
              <w:t>公开渠道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各有关部门、各镇处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2021年12月底前</w:t>
            </w:r>
          </w:p>
        </w:tc>
      </w:tr>
      <w:tr w:rsidR="006767FC" w:rsidRPr="006D7CD0" w:rsidTr="00F144FD">
        <w:trPr>
          <w:trHeight w:val="1381"/>
        </w:trPr>
        <w:tc>
          <w:tcPr>
            <w:tcW w:w="304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11</w:t>
            </w:r>
          </w:p>
        </w:tc>
        <w:tc>
          <w:tcPr>
            <w:tcW w:w="500" w:type="pct"/>
            <w:vAlign w:val="center"/>
          </w:tcPr>
          <w:p w:rsidR="006767FC" w:rsidRPr="006D7CD0" w:rsidRDefault="006767FC" w:rsidP="00F144FD">
            <w:pPr>
              <w:spacing w:line="300" w:lineRule="exact"/>
              <w:ind w:leftChars="-16" w:left="-34" w:rightChars="-20" w:right="-42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制定统一</w:t>
            </w: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  <w:shd w:val="clear" w:color="auto" w:fill="FFFFFF"/>
              </w:rPr>
              <w:t>基层</w:t>
            </w: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政务公开标准规范</w:t>
            </w:r>
          </w:p>
        </w:tc>
        <w:tc>
          <w:tcPr>
            <w:tcW w:w="1495" w:type="pct"/>
            <w:vAlign w:val="center"/>
          </w:tcPr>
          <w:p w:rsidR="006767FC" w:rsidRPr="006D7CD0" w:rsidRDefault="006767FC" w:rsidP="00F144FD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6D7CD0">
              <w:rPr>
                <w:rFonts w:asciiTheme="minorEastAsia" w:eastAsiaTheme="minorEastAsia" w:hAnsiTheme="minorEastAsia" w:hint="eastAsia"/>
                <w:szCs w:val="21"/>
              </w:rPr>
              <w:t>（27）建立统一的基层政务公开标准规范</w:t>
            </w:r>
          </w:p>
        </w:tc>
        <w:tc>
          <w:tcPr>
            <w:tcW w:w="1582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区工管办（宣传）</w:t>
            </w:r>
          </w:p>
        </w:tc>
        <w:tc>
          <w:tcPr>
            <w:tcW w:w="1119" w:type="pct"/>
            <w:vAlign w:val="center"/>
          </w:tcPr>
          <w:p w:rsidR="006767FC" w:rsidRPr="006D7CD0" w:rsidRDefault="006767FC" w:rsidP="00F144FD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6D7CD0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2022年7底前</w:t>
            </w:r>
          </w:p>
        </w:tc>
      </w:tr>
    </w:tbl>
    <w:p w:rsidR="00A60199" w:rsidRDefault="00A60199"/>
    <w:sectPr w:rsidR="00A60199" w:rsidSect="00A6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7FC"/>
    <w:rsid w:val="006767FC"/>
    <w:rsid w:val="00A6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周安娜</dc:creator>
  <cp:lastModifiedBy>周安娜</cp:lastModifiedBy>
  <cp:revision>1</cp:revision>
  <dcterms:created xsi:type="dcterms:W3CDTF">2020-12-21T03:19:00Z</dcterms:created>
  <dcterms:modified xsi:type="dcterms:W3CDTF">2020-12-21T03:20:00Z</dcterms:modified>
</cp:coreProperties>
</file>