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EA9EA" w14:textId="77777777" w:rsidR="006205B0" w:rsidRDefault="009D7EE8">
      <w:pPr>
        <w:jc w:val="center"/>
        <w:rPr>
          <w:rFonts w:ascii="黑体" w:eastAsia="黑体" w:hAnsi="黑体" w:cs="黑体"/>
          <w:kern w:val="44"/>
          <w:sz w:val="44"/>
          <w:szCs w:val="44"/>
        </w:rPr>
      </w:pPr>
      <w:r>
        <w:rPr>
          <w:rFonts w:ascii="黑体" w:eastAsia="黑体" w:hAnsi="黑体" w:cs="黑体" w:hint="eastAsia"/>
          <w:kern w:val="44"/>
          <w:sz w:val="44"/>
          <w:szCs w:val="44"/>
        </w:rPr>
        <w:t>南昌经济技术开发区土地征收成片开发方案（2024-2026年</w:t>
      </w:r>
      <w:r>
        <w:rPr>
          <w:rFonts w:ascii="黑体" w:eastAsia="黑体" w:hAnsi="黑体" w:cs="黑体"/>
          <w:kern w:val="44"/>
          <w:sz w:val="44"/>
          <w:szCs w:val="44"/>
        </w:rPr>
        <w:t>）</w:t>
      </w:r>
    </w:p>
    <w:p w14:paraId="164937B9" w14:textId="77777777" w:rsidR="006205B0" w:rsidRDefault="009D7EE8">
      <w:pPr>
        <w:jc w:val="center"/>
        <w:rPr>
          <w:rFonts w:ascii="仿宋_GB2312" w:eastAsia="仿宋_GB2312" w:hAnsi="仿宋_GB2312" w:cs="仿宋_GB2312"/>
          <w:kern w:val="44"/>
          <w:sz w:val="32"/>
          <w:szCs w:val="32"/>
        </w:rPr>
      </w:pPr>
      <w:r>
        <w:rPr>
          <w:rFonts w:ascii="仿宋_GB2312" w:eastAsia="仿宋_GB2312" w:hAnsi="仿宋_GB2312" w:cs="仿宋_GB2312" w:hint="eastAsia"/>
          <w:kern w:val="44"/>
          <w:sz w:val="32"/>
          <w:szCs w:val="32"/>
        </w:rPr>
        <w:t>（公示草案）</w:t>
      </w:r>
    </w:p>
    <w:p w14:paraId="11EB7327" w14:textId="77777777" w:rsidR="006205B0" w:rsidRDefault="006205B0">
      <w:pPr>
        <w:jc w:val="center"/>
        <w:rPr>
          <w:rFonts w:ascii="仿宋_GB2312" w:eastAsia="仿宋_GB2312" w:hAnsi="仿宋_GB2312" w:cs="仿宋_GB2312"/>
          <w:kern w:val="44"/>
          <w:sz w:val="32"/>
          <w:szCs w:val="32"/>
        </w:rPr>
      </w:pPr>
    </w:p>
    <w:p w14:paraId="10AD4DF7" w14:textId="592E5852" w:rsidR="006205B0" w:rsidRDefault="009D7EE8">
      <w:pPr>
        <w:autoSpaceDE w:val="0"/>
        <w:autoSpaceDN w:val="0"/>
        <w:adjustRightInd w:val="0"/>
        <w:ind w:firstLineChars="200" w:firstLine="560"/>
        <w:rPr>
          <w:rFonts w:ascii="仿宋_GB2312" w:eastAsia="仿宋_GB2312" w:cs="仿宋_GB2312"/>
          <w:kern w:val="0"/>
          <w:sz w:val="28"/>
          <w:szCs w:val="28"/>
        </w:rPr>
      </w:pPr>
      <w:r>
        <w:rPr>
          <w:rFonts w:ascii="仿宋_GB2312" w:eastAsia="仿宋_GB2312" w:cs="仿宋_GB2312" w:hint="eastAsia"/>
          <w:kern w:val="0"/>
          <w:sz w:val="28"/>
          <w:szCs w:val="28"/>
        </w:rPr>
        <w:t>根据《中华人民共和国土地管理法》、《自然资源部关于印发&lt;土地征收成片开发标准&gt;的通知》</w:t>
      </w:r>
      <w:r>
        <w:rPr>
          <w:rFonts w:ascii="仿宋_GB2312" w:eastAsia="仿宋_GB2312" w:hAnsi="仿宋_GB2312" w:cs="仿宋_GB2312" w:hint="eastAsia"/>
          <w:kern w:val="0"/>
          <w:sz w:val="28"/>
          <w:szCs w:val="28"/>
        </w:rPr>
        <w:t>(自然资</w:t>
      </w:r>
      <w:proofErr w:type="gramStart"/>
      <w:r>
        <w:rPr>
          <w:rFonts w:ascii="仿宋_GB2312" w:eastAsia="仿宋_GB2312" w:hAnsi="仿宋_GB2312" w:cs="仿宋_GB2312" w:hint="eastAsia"/>
          <w:kern w:val="0"/>
          <w:sz w:val="28"/>
          <w:szCs w:val="28"/>
        </w:rPr>
        <w:t>规</w:t>
      </w:r>
      <w:proofErr w:type="gramEnd"/>
      <w:r>
        <w:rPr>
          <w:rFonts w:ascii="仿宋_GB2312" w:eastAsia="仿宋_GB2312" w:hAnsi="仿宋_GB2312" w:cs="仿宋_GB2312" w:hint="eastAsia"/>
          <w:kern w:val="0"/>
          <w:sz w:val="28"/>
          <w:szCs w:val="28"/>
        </w:rPr>
        <w:t>〔2023〕7号）</w:t>
      </w:r>
      <w:r>
        <w:rPr>
          <w:rFonts w:ascii="仿宋_GB2312" w:eastAsia="仿宋_GB2312" w:cs="仿宋_GB2312" w:hint="eastAsia"/>
          <w:kern w:val="0"/>
          <w:sz w:val="28"/>
          <w:szCs w:val="28"/>
        </w:rPr>
        <w:t>以及《江西省人民政府办公厅关于执行土地征收成片开发标准</w:t>
      </w:r>
      <w:r>
        <w:rPr>
          <w:rFonts w:ascii="仿宋_GB2312" w:eastAsia="仿宋_GB2312" w:cs="仿宋_GB2312"/>
          <w:kern w:val="0"/>
          <w:sz w:val="28"/>
          <w:szCs w:val="28"/>
        </w:rPr>
        <w:t>(试行)的指导意见</w:t>
      </w:r>
      <w:r>
        <w:rPr>
          <w:rFonts w:ascii="仿宋_GB2312" w:eastAsia="仿宋_GB2312" w:cs="仿宋_GB2312" w:hint="eastAsia"/>
          <w:kern w:val="0"/>
          <w:sz w:val="28"/>
          <w:szCs w:val="28"/>
        </w:rPr>
        <w:t>》（赣府厅发〔</w:t>
      </w:r>
      <w:r>
        <w:rPr>
          <w:rFonts w:ascii="仿宋_GB2312" w:eastAsia="仿宋_GB2312" w:cs="仿宋_GB2312"/>
          <w:kern w:val="0"/>
          <w:sz w:val="28"/>
          <w:szCs w:val="28"/>
        </w:rPr>
        <w:t>2021〕2号）</w:t>
      </w:r>
      <w:r>
        <w:rPr>
          <w:rFonts w:ascii="仿宋_GB2312" w:eastAsia="仿宋_GB2312" w:cs="仿宋_GB2312" w:hint="eastAsia"/>
          <w:kern w:val="0"/>
          <w:sz w:val="28"/>
          <w:szCs w:val="28"/>
        </w:rPr>
        <w:t>等文件规定</w:t>
      </w:r>
      <w:r>
        <w:rPr>
          <w:rFonts w:ascii="仿宋_GB2312" w:eastAsia="仿宋_GB2312" w:cs="仿宋_GB2312"/>
          <w:kern w:val="0"/>
          <w:sz w:val="28"/>
          <w:szCs w:val="28"/>
        </w:rPr>
        <w:t>，</w:t>
      </w:r>
      <w:r>
        <w:rPr>
          <w:rFonts w:ascii="仿宋_GB2312" w:eastAsia="仿宋_GB2312" w:cs="仿宋_GB2312" w:hint="eastAsia"/>
          <w:kern w:val="0"/>
          <w:sz w:val="28"/>
          <w:szCs w:val="28"/>
        </w:rPr>
        <w:t>南昌经济技术开发区管理委员会组织编制了《南昌经济技术开发区土地征收成片开发方案（2024-2026年</w:t>
      </w:r>
      <w:r>
        <w:rPr>
          <w:rFonts w:ascii="仿宋_GB2312" w:eastAsia="仿宋_GB2312" w:cs="仿宋_GB2312"/>
          <w:kern w:val="0"/>
          <w:sz w:val="28"/>
          <w:szCs w:val="28"/>
        </w:rPr>
        <w:t>）</w:t>
      </w:r>
      <w:r>
        <w:rPr>
          <w:rFonts w:ascii="仿宋_GB2312" w:eastAsia="仿宋_GB2312" w:cs="仿宋_GB2312" w:hint="eastAsia"/>
          <w:kern w:val="0"/>
          <w:sz w:val="28"/>
          <w:szCs w:val="28"/>
        </w:rPr>
        <w:t>（征求意见稿）</w:t>
      </w:r>
      <w:r w:rsidR="00B50D6E">
        <w:rPr>
          <w:rFonts w:ascii="仿宋_GB2312" w:eastAsia="仿宋_GB2312" w:cs="仿宋_GB2312" w:hint="eastAsia"/>
          <w:kern w:val="0"/>
          <w:sz w:val="28"/>
          <w:szCs w:val="28"/>
        </w:rPr>
        <w:t>》</w:t>
      </w:r>
      <w:r>
        <w:rPr>
          <w:rFonts w:ascii="仿宋_GB2312" w:eastAsia="仿宋_GB2312" w:cs="仿宋_GB2312" w:hint="eastAsia"/>
          <w:kern w:val="0"/>
          <w:sz w:val="28"/>
          <w:szCs w:val="28"/>
        </w:rPr>
        <w:t>。现将方案主要内容进行公示，在公示期间，对该方案的意见或建议请在公示期内以书面形式向南昌市自然资源和规划局经</w:t>
      </w:r>
      <w:proofErr w:type="gramStart"/>
      <w:r>
        <w:rPr>
          <w:rFonts w:ascii="仿宋_GB2312" w:eastAsia="仿宋_GB2312" w:cs="仿宋_GB2312" w:hint="eastAsia"/>
          <w:kern w:val="0"/>
          <w:sz w:val="28"/>
          <w:szCs w:val="28"/>
        </w:rPr>
        <w:t>开分局</w:t>
      </w:r>
      <w:proofErr w:type="gramEnd"/>
      <w:r>
        <w:rPr>
          <w:rFonts w:ascii="仿宋_GB2312" w:eastAsia="仿宋_GB2312" w:cs="仿宋_GB2312" w:hint="eastAsia"/>
          <w:kern w:val="0"/>
          <w:sz w:val="28"/>
          <w:szCs w:val="28"/>
        </w:rPr>
        <w:t>反馈。</w:t>
      </w:r>
    </w:p>
    <w:p w14:paraId="6394ADB2" w14:textId="77777777" w:rsidR="006205B0" w:rsidRDefault="009D7EE8">
      <w:pPr>
        <w:pStyle w:val="1"/>
        <w:spacing w:line="240" w:lineRule="auto"/>
        <w:ind w:left="0" w:firstLineChars="200" w:firstLine="640"/>
        <w:rPr>
          <w:rFonts w:ascii="黑体" w:eastAsia="黑体" w:hAnsi="黑体"/>
          <w:b w:val="0"/>
          <w:bCs w:val="0"/>
          <w:sz w:val="32"/>
          <w:szCs w:val="32"/>
        </w:rPr>
      </w:pPr>
      <w:r>
        <w:rPr>
          <w:rFonts w:ascii="黑体" w:eastAsia="黑体" w:hAnsi="黑体" w:hint="eastAsia"/>
          <w:b w:val="0"/>
          <w:bCs w:val="0"/>
          <w:sz w:val="32"/>
          <w:szCs w:val="32"/>
        </w:rPr>
        <w:t>一、编制依据</w:t>
      </w:r>
    </w:p>
    <w:p w14:paraId="59D86742" w14:textId="77777777" w:rsidR="006205B0" w:rsidRDefault="009D7EE8">
      <w:pPr>
        <w:autoSpaceDE w:val="0"/>
        <w:autoSpaceDN w:val="0"/>
        <w:adjustRightInd w:val="0"/>
        <w:ind w:firstLineChars="200" w:firstLine="560"/>
        <w:rPr>
          <w:rFonts w:ascii="仿宋_GB2312" w:eastAsia="仿宋_GB2312" w:hAnsi="Times New Roman" w:cs="Times New Roman"/>
          <w:sz w:val="28"/>
          <w:szCs w:val="28"/>
        </w:rPr>
      </w:pPr>
      <w:r>
        <w:rPr>
          <w:rFonts w:ascii="仿宋_GB2312" w:eastAsia="仿宋_GB2312" w:cs="仿宋_GB2312" w:hint="eastAsia"/>
          <w:kern w:val="0"/>
          <w:sz w:val="28"/>
          <w:szCs w:val="28"/>
        </w:rPr>
        <w:t>根据《自然资源部关于印发&lt;土地征收成片开发标准&gt;的通知》</w:t>
      </w:r>
      <w:r>
        <w:rPr>
          <w:rFonts w:ascii="仿宋_GB2312" w:eastAsia="仿宋_GB2312" w:hAnsi="仿宋_GB2312" w:cs="仿宋_GB2312" w:hint="eastAsia"/>
          <w:kern w:val="0"/>
          <w:sz w:val="28"/>
          <w:szCs w:val="28"/>
        </w:rPr>
        <w:t>(自然资</w:t>
      </w:r>
      <w:proofErr w:type="gramStart"/>
      <w:r>
        <w:rPr>
          <w:rFonts w:ascii="仿宋_GB2312" w:eastAsia="仿宋_GB2312" w:hAnsi="仿宋_GB2312" w:cs="仿宋_GB2312" w:hint="eastAsia"/>
          <w:kern w:val="0"/>
          <w:sz w:val="28"/>
          <w:szCs w:val="28"/>
        </w:rPr>
        <w:t>规</w:t>
      </w:r>
      <w:proofErr w:type="gramEnd"/>
      <w:r>
        <w:rPr>
          <w:rFonts w:ascii="仿宋_GB2312" w:eastAsia="仿宋_GB2312" w:hAnsi="仿宋_GB2312" w:cs="仿宋_GB2312" w:hint="eastAsia"/>
          <w:kern w:val="0"/>
          <w:sz w:val="28"/>
          <w:szCs w:val="28"/>
        </w:rPr>
        <w:t>〔2023〕7号）</w:t>
      </w:r>
      <w:r>
        <w:rPr>
          <w:rFonts w:ascii="仿宋_GB2312" w:eastAsia="仿宋_GB2312" w:hAnsi="Times New Roman" w:cs="Times New Roman" w:hint="eastAsia"/>
          <w:sz w:val="28"/>
          <w:szCs w:val="28"/>
        </w:rPr>
        <w:t>、</w:t>
      </w:r>
      <w:r>
        <w:rPr>
          <w:rFonts w:ascii="仿宋_GB2312" w:eastAsia="仿宋_GB2312" w:cs="仿宋_GB2312" w:hint="eastAsia"/>
          <w:kern w:val="0"/>
          <w:sz w:val="28"/>
          <w:szCs w:val="28"/>
        </w:rPr>
        <w:t>《江西省人民政府办公厅关于执行土地征收成片开发标准</w:t>
      </w:r>
      <w:r>
        <w:rPr>
          <w:rFonts w:ascii="仿宋_GB2312" w:eastAsia="仿宋_GB2312" w:cs="仿宋_GB2312"/>
          <w:kern w:val="0"/>
          <w:sz w:val="28"/>
          <w:szCs w:val="28"/>
        </w:rPr>
        <w:t>(试行)的指导意见</w:t>
      </w:r>
      <w:r>
        <w:rPr>
          <w:rFonts w:ascii="仿宋_GB2312" w:eastAsia="仿宋_GB2312" w:cs="仿宋_GB2312" w:hint="eastAsia"/>
          <w:kern w:val="0"/>
          <w:sz w:val="28"/>
          <w:szCs w:val="28"/>
        </w:rPr>
        <w:t>》（赣府厅发〔</w:t>
      </w:r>
      <w:r>
        <w:rPr>
          <w:rFonts w:ascii="仿宋_GB2312" w:eastAsia="仿宋_GB2312" w:cs="仿宋_GB2312"/>
          <w:kern w:val="0"/>
          <w:sz w:val="28"/>
          <w:szCs w:val="28"/>
        </w:rPr>
        <w:t>2021〕2号）</w:t>
      </w:r>
      <w:r>
        <w:rPr>
          <w:rFonts w:ascii="仿宋_GB2312" w:eastAsia="仿宋_GB2312" w:cs="仿宋_GB2312" w:hint="eastAsia"/>
          <w:kern w:val="0"/>
          <w:sz w:val="28"/>
          <w:szCs w:val="28"/>
        </w:rPr>
        <w:t>、</w:t>
      </w:r>
      <w:r>
        <w:rPr>
          <w:rFonts w:ascii="仿宋_GB2312" w:eastAsia="仿宋_GB2312" w:hAnsi="仿宋_GB2312" w:cs="仿宋_GB2312" w:hint="eastAsia"/>
          <w:sz w:val="28"/>
          <w:szCs w:val="28"/>
        </w:rPr>
        <w:t>《江西省自然资源厅办公室关于认真贯彻执行新&lt;土地管理法</w:t>
      </w:r>
      <w:r>
        <w:rPr>
          <w:rFonts w:ascii="仿宋_GB2312" w:eastAsia="仿宋_GB2312" w:hAnsi="Times New Roman" w:cs="Times New Roman" w:hint="eastAsia"/>
          <w:sz w:val="28"/>
          <w:szCs w:val="28"/>
        </w:rPr>
        <w:t>&gt;</w:t>
      </w:r>
      <w:r>
        <w:rPr>
          <w:rFonts w:ascii="仿宋_GB2312" w:eastAsia="仿宋_GB2312" w:hAnsi="仿宋_GB2312" w:cs="仿宋_GB2312" w:hint="eastAsia"/>
          <w:sz w:val="28"/>
          <w:szCs w:val="28"/>
        </w:rPr>
        <w:t>切实做好土地征收工作</w:t>
      </w:r>
      <w:r>
        <w:rPr>
          <w:rFonts w:ascii="仿宋_GB2312" w:eastAsia="仿宋_GB2312" w:hAnsi="Times New Roman" w:cs="Times New Roman" w:hint="eastAsia"/>
          <w:sz w:val="28"/>
          <w:szCs w:val="28"/>
        </w:rPr>
        <w:t>的通知》</w:t>
      </w:r>
      <w:r>
        <w:rPr>
          <w:rFonts w:ascii="仿宋_GB2312" w:eastAsia="仿宋_GB2312" w:hAnsi="Times New Roman" w:cs="Times New Roman"/>
          <w:sz w:val="28"/>
          <w:szCs w:val="28"/>
        </w:rPr>
        <w:t>（</w:t>
      </w:r>
      <w:proofErr w:type="gramStart"/>
      <w:r>
        <w:rPr>
          <w:rFonts w:ascii="仿宋_GB2312" w:eastAsia="仿宋_GB2312" w:hAnsi="Times New Roman" w:cs="Times New Roman"/>
          <w:sz w:val="28"/>
          <w:szCs w:val="28"/>
        </w:rPr>
        <w:t>赣自然资</w:t>
      </w:r>
      <w:proofErr w:type="gramEnd"/>
      <w:r>
        <w:rPr>
          <w:rFonts w:ascii="仿宋_GB2312" w:eastAsia="仿宋_GB2312" w:hAnsi="Times New Roman" w:cs="Times New Roman" w:hint="eastAsia"/>
          <w:sz w:val="28"/>
          <w:szCs w:val="28"/>
        </w:rPr>
        <w:t>办</w:t>
      </w:r>
      <w:r>
        <w:rPr>
          <w:rFonts w:ascii="仿宋_GB2312" w:eastAsia="仿宋_GB2312" w:hAnsi="Times New Roman" w:cs="Times New Roman"/>
          <w:sz w:val="28"/>
          <w:szCs w:val="28"/>
        </w:rPr>
        <w:t>发〔2020〕20号）</w:t>
      </w:r>
      <w:r>
        <w:rPr>
          <w:rFonts w:ascii="仿宋_GB2312" w:eastAsia="仿宋_GB2312" w:hAnsi="Times New Roman" w:cs="Times New Roman" w:hint="eastAsia"/>
          <w:sz w:val="28"/>
          <w:szCs w:val="28"/>
        </w:rPr>
        <w:t>、《南昌经济技术开发区国民经济和社会发展第十四个五年规划和</w:t>
      </w:r>
      <w:r w:rsidR="003B6930" w:rsidRPr="003B6930">
        <w:rPr>
          <w:rFonts w:ascii="仿宋_GB2312" w:eastAsia="仿宋_GB2312" w:hAnsi="Times New Roman" w:cs="Times New Roman" w:hint="eastAsia"/>
          <w:sz w:val="28"/>
          <w:szCs w:val="28"/>
        </w:rPr>
        <w:t>二</w:t>
      </w:r>
      <w:r w:rsidR="003B6930" w:rsidRPr="003B6930">
        <w:rPr>
          <w:rFonts w:ascii="微软雅黑" w:eastAsia="微软雅黑" w:hAnsi="微软雅黑" w:cs="微软雅黑" w:hint="eastAsia"/>
          <w:sz w:val="28"/>
          <w:szCs w:val="28"/>
        </w:rPr>
        <w:t>〇</w:t>
      </w:r>
      <w:r w:rsidR="003B6930" w:rsidRPr="003B6930">
        <w:rPr>
          <w:rFonts w:ascii="仿宋_GB2312" w:eastAsia="仿宋_GB2312" w:hAnsi="仿宋_GB2312" w:cs="仿宋_GB2312" w:hint="eastAsia"/>
          <w:sz w:val="28"/>
          <w:szCs w:val="28"/>
        </w:rPr>
        <w:t>三五年远景目标</w:t>
      </w:r>
      <w:r>
        <w:rPr>
          <w:rFonts w:ascii="仿宋_GB2312" w:eastAsia="仿宋_GB2312" w:hAnsi="Times New Roman" w:cs="Times New Roman" w:hint="eastAsia"/>
          <w:sz w:val="28"/>
          <w:szCs w:val="28"/>
        </w:rPr>
        <w:t>纲要》、《南昌市国土空间总体规划（2021—2035年）》、《南昌经开区儒乐湖产业片区控制性详细规划》、《南昌经开区英雄大道、昌西大道和黄家湖路周边区域控制性详细规划》、《南昌临空经济区</w:t>
      </w:r>
      <w:r>
        <w:rPr>
          <w:rFonts w:ascii="仿宋_GB2312" w:eastAsia="仿宋_GB2312" w:hAnsi="Times New Roman" w:cs="Times New Roman" w:hint="eastAsia"/>
          <w:sz w:val="28"/>
          <w:szCs w:val="28"/>
        </w:rPr>
        <w:lastRenderedPageBreak/>
        <w:t>直管区控制性详细规划》、《南昌市昌北限建区控制规划》、《南昌蛟桥片区JQ1-JQ6控制单元控制性详细规划》</w:t>
      </w:r>
      <w:r>
        <w:rPr>
          <w:rFonts w:ascii="仿宋_GB2312" w:eastAsia="仿宋_GB2312" w:cs="仿宋_GB2312" w:hint="eastAsia"/>
          <w:kern w:val="0"/>
          <w:sz w:val="28"/>
          <w:szCs w:val="28"/>
        </w:rPr>
        <w:t>。</w:t>
      </w:r>
    </w:p>
    <w:p w14:paraId="5DFE2C30" w14:textId="77777777" w:rsidR="006205B0" w:rsidRDefault="009D7EE8">
      <w:pPr>
        <w:pStyle w:val="1"/>
        <w:spacing w:line="240" w:lineRule="auto"/>
        <w:ind w:left="0" w:firstLineChars="200" w:firstLine="640"/>
        <w:rPr>
          <w:rFonts w:ascii="黑体" w:eastAsia="黑体" w:hAnsi="黑体"/>
          <w:b w:val="0"/>
          <w:bCs w:val="0"/>
          <w:sz w:val="32"/>
          <w:szCs w:val="32"/>
        </w:rPr>
      </w:pPr>
      <w:bookmarkStart w:id="0" w:name="_Toc69736442"/>
      <w:r>
        <w:rPr>
          <w:rFonts w:ascii="黑体" w:eastAsia="黑体" w:hAnsi="黑体" w:hint="eastAsia"/>
          <w:b w:val="0"/>
          <w:bCs w:val="0"/>
          <w:sz w:val="32"/>
          <w:szCs w:val="32"/>
        </w:rPr>
        <w:t>二、基本情况</w:t>
      </w:r>
      <w:bookmarkEnd w:id="0"/>
    </w:p>
    <w:p w14:paraId="7AF205C6" w14:textId="77777777" w:rsidR="006205B0" w:rsidRDefault="009D7EE8">
      <w:pPr>
        <w:spacing w:line="360" w:lineRule="auto"/>
        <w:ind w:firstLineChars="200" w:firstLine="560"/>
        <w:rPr>
          <w:rFonts w:ascii="仿宋_GB2312" w:eastAsia="仿宋_GB2312"/>
          <w:sz w:val="28"/>
          <w:szCs w:val="28"/>
        </w:rPr>
      </w:pPr>
      <w:r>
        <w:rPr>
          <w:rFonts w:ascii="仿宋_GB2312" w:eastAsia="仿宋_GB2312" w:hAnsi="仿宋_GB2312" w:cs="仿宋_GB2312" w:hint="eastAsia"/>
          <w:sz w:val="28"/>
          <w:szCs w:val="28"/>
        </w:rPr>
        <w:t>本成片开发方案涉及五个片区，总面积120.0732公顷，</w:t>
      </w:r>
      <w:r>
        <w:rPr>
          <w:rFonts w:ascii="仿宋_GB2312" w:eastAsia="仿宋_GB2312" w:hint="eastAsia"/>
          <w:sz w:val="28"/>
          <w:szCs w:val="28"/>
        </w:rPr>
        <w:t>拟征收土地面积68.3879</w:t>
      </w:r>
      <w:r>
        <w:rPr>
          <w:rFonts w:ascii="仿宋_GB2312" w:eastAsia="仿宋_GB2312"/>
          <w:sz w:val="28"/>
          <w:szCs w:val="28"/>
        </w:rPr>
        <w:t xml:space="preserve"> </w:t>
      </w:r>
      <w:r>
        <w:rPr>
          <w:rFonts w:ascii="仿宋_GB2312" w:eastAsia="仿宋_GB2312" w:hint="eastAsia"/>
          <w:sz w:val="28"/>
          <w:szCs w:val="28"/>
        </w:rPr>
        <w:t>公顷，公益性用地面积</w:t>
      </w:r>
      <w:r>
        <w:rPr>
          <w:rFonts w:ascii="仿宋_GB2312" w:eastAsia="仿宋_GB2312" w:hAnsi="微软雅黑" w:cs="仿宋_GB2312" w:hint="eastAsia"/>
          <w:sz w:val="28"/>
          <w:szCs w:val="28"/>
          <w:shd w:val="clear" w:color="auto" w:fill="FFFFFF"/>
        </w:rPr>
        <w:t>62.0740公顷，</w:t>
      </w:r>
      <w:r>
        <w:rPr>
          <w:rFonts w:ascii="仿宋_GB2312" w:eastAsia="仿宋_GB2312" w:hint="eastAsia"/>
          <w:sz w:val="28"/>
          <w:szCs w:val="28"/>
        </w:rPr>
        <w:t>占成片开发范围总面积比例51.70</w:t>
      </w:r>
      <w:r>
        <w:rPr>
          <w:rFonts w:ascii="仿宋_GB2312" w:eastAsia="仿宋_GB2312"/>
          <w:sz w:val="28"/>
          <w:szCs w:val="28"/>
        </w:rPr>
        <w:t>%</w:t>
      </w:r>
      <w:r>
        <w:rPr>
          <w:rFonts w:ascii="仿宋_GB2312" w:eastAsia="仿宋_GB2312" w:hint="eastAsia"/>
          <w:sz w:val="28"/>
          <w:szCs w:val="28"/>
        </w:rPr>
        <w:t>(成片开发范围以最终批复为准</w:t>
      </w:r>
      <w:r>
        <w:rPr>
          <w:rFonts w:ascii="仿宋_GB2312" w:eastAsia="仿宋_GB2312"/>
          <w:sz w:val="28"/>
          <w:szCs w:val="28"/>
        </w:rPr>
        <w:t>)</w:t>
      </w:r>
      <w:r>
        <w:rPr>
          <w:rFonts w:ascii="仿宋_GB2312" w:eastAsia="仿宋_GB2312" w:hint="eastAsia"/>
          <w:sz w:val="28"/>
          <w:szCs w:val="28"/>
        </w:rPr>
        <w:t>。</w:t>
      </w:r>
    </w:p>
    <w:p w14:paraId="31D4830D" w14:textId="77777777" w:rsidR="006205B0" w:rsidRDefault="009D7EE8">
      <w:pPr>
        <w:spacing w:line="360" w:lineRule="auto"/>
        <w:ind w:firstLineChars="200" w:firstLine="560"/>
        <w:rPr>
          <w:rFonts w:ascii="仿宋_GB2312" w:eastAsia="仿宋_GB2312"/>
          <w:sz w:val="28"/>
          <w:szCs w:val="28"/>
        </w:rPr>
      </w:pPr>
      <w:r>
        <w:rPr>
          <w:rFonts w:ascii="仿宋_GB2312" w:eastAsia="仿宋_GB2312" w:hint="eastAsia"/>
          <w:sz w:val="28"/>
          <w:szCs w:val="28"/>
        </w:rPr>
        <w:t>1、片区一</w:t>
      </w:r>
    </w:p>
    <w:p w14:paraId="40B468F5" w14:textId="77777777" w:rsidR="006205B0" w:rsidRDefault="009D7EE8">
      <w:pPr>
        <w:ind w:firstLineChars="200" w:firstLine="560"/>
        <w:rPr>
          <w:rFonts w:ascii="仿宋_GB2312" w:eastAsia="仿宋_GB2312"/>
          <w:sz w:val="28"/>
          <w:szCs w:val="28"/>
        </w:rPr>
      </w:pPr>
      <w:r>
        <w:rPr>
          <w:rFonts w:ascii="仿宋_GB2312" w:eastAsia="仿宋_GB2312" w:hAnsi="Times New Roman" w:cs="Times New Roman" w:hint="eastAsia"/>
          <w:sz w:val="28"/>
          <w:szCs w:val="28"/>
        </w:rPr>
        <w:t>片区</w:t>
      </w:r>
      <w:proofErr w:type="gramStart"/>
      <w:r>
        <w:rPr>
          <w:rFonts w:ascii="仿宋_GB2312" w:eastAsia="仿宋_GB2312" w:hAnsi="Times New Roman" w:cs="Times New Roman" w:hint="eastAsia"/>
          <w:sz w:val="28"/>
          <w:szCs w:val="28"/>
        </w:rPr>
        <w:t>一</w:t>
      </w:r>
      <w:proofErr w:type="gramEnd"/>
      <w:r>
        <w:rPr>
          <w:rFonts w:ascii="仿宋_GB2312" w:eastAsia="仿宋_GB2312" w:hAnsi="Times New Roman" w:cs="Times New Roman" w:hint="eastAsia"/>
          <w:sz w:val="28"/>
          <w:szCs w:val="28"/>
        </w:rPr>
        <w:t>位于建业大道以北，天源二路以南，经开大道以东，机场大道以西，</w:t>
      </w:r>
      <w:r>
        <w:rPr>
          <w:rFonts w:ascii="仿宋_GB2312" w:eastAsia="仿宋_GB2312" w:hAnsi="Times New Roman" w:cs="Times New Roman"/>
          <w:sz w:val="28"/>
          <w:szCs w:val="28"/>
        </w:rPr>
        <w:t>总面积</w:t>
      </w:r>
      <w:r>
        <w:rPr>
          <w:rFonts w:ascii="仿宋_GB2312" w:eastAsia="仿宋_GB2312" w:hAnsi="Times New Roman" w:cs="Times New Roman" w:hint="eastAsia"/>
          <w:sz w:val="28"/>
          <w:szCs w:val="28"/>
        </w:rPr>
        <w:t>48.9378</w:t>
      </w:r>
      <w:r>
        <w:rPr>
          <w:rFonts w:ascii="仿宋_GB2312" w:eastAsia="仿宋_GB2312" w:hAnsi="Times New Roman" w:cs="Times New Roman"/>
          <w:sz w:val="28"/>
          <w:szCs w:val="28"/>
        </w:rPr>
        <w:t>公顷</w:t>
      </w:r>
      <w:r>
        <w:rPr>
          <w:rFonts w:ascii="仿宋_GB2312" w:eastAsia="仿宋_GB2312" w:hAnsi="Times New Roman" w:cs="Times New Roman" w:hint="eastAsia"/>
          <w:sz w:val="28"/>
          <w:szCs w:val="28"/>
        </w:rPr>
        <w:t>。</w:t>
      </w:r>
      <w:r>
        <w:rPr>
          <w:rFonts w:ascii="仿宋_GB2312" w:eastAsia="仿宋_GB2312" w:hint="eastAsia"/>
          <w:sz w:val="28"/>
          <w:szCs w:val="28"/>
        </w:rPr>
        <w:t>拟征收土地面积15.438</w:t>
      </w:r>
      <w:r>
        <w:rPr>
          <w:rFonts w:ascii="仿宋_GB2312" w:eastAsia="仿宋_GB2312" w:hAnsi="Times New Roman" w:cs="Times New Roman" w:hint="eastAsia"/>
          <w:sz w:val="28"/>
          <w:szCs w:val="28"/>
        </w:rPr>
        <w:t>3公顷，公益</w:t>
      </w:r>
      <w:r>
        <w:rPr>
          <w:rFonts w:ascii="仿宋_GB2312" w:eastAsia="仿宋_GB2312" w:hint="eastAsia"/>
          <w:sz w:val="28"/>
          <w:szCs w:val="28"/>
        </w:rPr>
        <w:t>性用地面积</w:t>
      </w:r>
      <w:r>
        <w:rPr>
          <w:rFonts w:ascii="仿宋_GB2312" w:eastAsia="仿宋_GB2312" w:hAnsi="微软雅黑" w:cs="仿宋_GB2312" w:hint="eastAsia"/>
          <w:sz w:val="28"/>
          <w:szCs w:val="28"/>
          <w:shd w:val="clear" w:color="auto" w:fill="FFFFFF"/>
        </w:rPr>
        <w:t>32.7061公顷，</w:t>
      </w:r>
      <w:r>
        <w:rPr>
          <w:rFonts w:ascii="仿宋_GB2312" w:eastAsia="仿宋_GB2312" w:hint="eastAsia"/>
          <w:sz w:val="28"/>
          <w:szCs w:val="28"/>
        </w:rPr>
        <w:t>占成片开发范围总面积比例</w:t>
      </w:r>
      <w:r>
        <w:rPr>
          <w:rFonts w:ascii="仿宋_GB2312" w:eastAsia="仿宋_GB2312" w:hAnsi="微软雅黑" w:cs="仿宋_GB2312" w:hint="eastAsia"/>
          <w:sz w:val="28"/>
          <w:szCs w:val="28"/>
          <w:shd w:val="clear" w:color="auto" w:fill="FFFFFF"/>
        </w:rPr>
        <w:t>66.94</w:t>
      </w:r>
      <w:r>
        <w:rPr>
          <w:rFonts w:ascii="仿宋_GB2312" w:eastAsia="仿宋_GB2312" w:hAnsi="微软雅黑" w:cs="仿宋_GB2312"/>
          <w:sz w:val="28"/>
          <w:szCs w:val="28"/>
          <w:shd w:val="clear" w:color="auto" w:fill="FFFFFF"/>
        </w:rPr>
        <w:t>%</w:t>
      </w:r>
      <w:r>
        <w:rPr>
          <w:rFonts w:ascii="仿宋_GB2312" w:eastAsia="仿宋_GB2312" w:hint="eastAsia"/>
          <w:sz w:val="28"/>
          <w:szCs w:val="28"/>
        </w:rPr>
        <w:t>。涉及乐化镇黄墩村、白水湖管理处港口村、</w:t>
      </w:r>
      <w:proofErr w:type="gramStart"/>
      <w:r>
        <w:rPr>
          <w:rFonts w:ascii="仿宋_GB2312" w:eastAsia="仿宋_GB2312" w:hint="eastAsia"/>
          <w:sz w:val="28"/>
          <w:szCs w:val="28"/>
        </w:rPr>
        <w:t>冠山管理处</w:t>
      </w:r>
      <w:proofErr w:type="gramEnd"/>
      <w:r>
        <w:rPr>
          <w:rFonts w:ascii="仿宋_GB2312" w:eastAsia="仿宋_GB2312" w:hint="eastAsia"/>
          <w:sz w:val="28"/>
          <w:szCs w:val="28"/>
        </w:rPr>
        <w:t>天源村。</w:t>
      </w:r>
    </w:p>
    <w:p w14:paraId="642B53AC" w14:textId="77777777" w:rsidR="006205B0" w:rsidRDefault="009D7EE8">
      <w:pPr>
        <w:spacing w:line="360" w:lineRule="auto"/>
        <w:ind w:firstLineChars="200" w:firstLine="560"/>
        <w:rPr>
          <w:rFonts w:ascii="仿宋_GB2312" w:eastAsia="仿宋_GB2312"/>
          <w:sz w:val="28"/>
          <w:szCs w:val="28"/>
        </w:rPr>
      </w:pPr>
      <w:r>
        <w:rPr>
          <w:rFonts w:ascii="仿宋_GB2312" w:eastAsia="仿宋_GB2312" w:hint="eastAsia"/>
          <w:sz w:val="28"/>
          <w:szCs w:val="28"/>
        </w:rPr>
        <w:t>2、片区二</w:t>
      </w:r>
    </w:p>
    <w:p w14:paraId="6D35D110" w14:textId="77777777" w:rsidR="006205B0" w:rsidRDefault="009D7EE8">
      <w:pPr>
        <w:autoSpaceDE w:val="0"/>
        <w:autoSpaceDN w:val="0"/>
        <w:adjustRightInd w:val="0"/>
        <w:ind w:firstLineChars="200" w:firstLine="560"/>
        <w:rPr>
          <w:rFonts w:ascii="仿宋_GB2312" w:eastAsia="仿宋_GB2312"/>
          <w:sz w:val="28"/>
          <w:szCs w:val="28"/>
        </w:rPr>
      </w:pPr>
      <w:r>
        <w:rPr>
          <w:rFonts w:ascii="仿宋_GB2312" w:eastAsia="仿宋_GB2312" w:hAnsi="Times New Roman" w:cs="Times New Roman" w:hint="eastAsia"/>
          <w:sz w:val="28"/>
          <w:szCs w:val="28"/>
        </w:rPr>
        <w:t>片区二位于高椅山一路以北，建业大道以南，金港路以东，机场大道以西，</w:t>
      </w:r>
      <w:r>
        <w:rPr>
          <w:rFonts w:ascii="仿宋_GB2312" w:eastAsia="仿宋_GB2312" w:hAnsi="Times New Roman" w:cs="Times New Roman"/>
          <w:sz w:val="28"/>
          <w:szCs w:val="28"/>
        </w:rPr>
        <w:t>总面积</w:t>
      </w:r>
      <w:r>
        <w:rPr>
          <w:rFonts w:ascii="仿宋_GB2312" w:eastAsia="仿宋_GB2312" w:hAnsi="Times New Roman" w:cs="Times New Roman" w:hint="eastAsia"/>
          <w:sz w:val="28"/>
          <w:szCs w:val="28"/>
        </w:rPr>
        <w:t>37.3883</w:t>
      </w:r>
      <w:r>
        <w:rPr>
          <w:rFonts w:ascii="仿宋_GB2312" w:eastAsia="仿宋_GB2312" w:hAnsi="Times New Roman" w:cs="Times New Roman"/>
          <w:sz w:val="28"/>
          <w:szCs w:val="28"/>
        </w:rPr>
        <w:t>公顷</w:t>
      </w:r>
      <w:r>
        <w:rPr>
          <w:rFonts w:ascii="仿宋_GB2312" w:eastAsia="仿宋_GB2312" w:hAnsi="Times New Roman" w:cs="Times New Roman" w:hint="eastAsia"/>
          <w:sz w:val="28"/>
          <w:szCs w:val="28"/>
        </w:rPr>
        <w:t>。</w:t>
      </w:r>
      <w:r>
        <w:rPr>
          <w:rFonts w:ascii="仿宋_GB2312" w:eastAsia="仿宋_GB2312" w:hint="eastAsia"/>
          <w:sz w:val="28"/>
          <w:szCs w:val="28"/>
        </w:rPr>
        <w:t>拟征收土地面积28.2881公顷,公益性用地面积</w:t>
      </w:r>
      <w:r>
        <w:rPr>
          <w:rFonts w:ascii="仿宋_GB2312" w:eastAsia="仿宋_GB2312" w:hAnsi="微软雅黑" w:cs="仿宋_GB2312" w:hint="eastAsia"/>
          <w:sz w:val="28"/>
          <w:szCs w:val="28"/>
          <w:shd w:val="clear" w:color="auto" w:fill="FFFFFF"/>
        </w:rPr>
        <w:t>14.9921公顷，</w:t>
      </w:r>
      <w:r>
        <w:rPr>
          <w:rFonts w:ascii="仿宋_GB2312" w:eastAsia="仿宋_GB2312" w:hint="eastAsia"/>
          <w:sz w:val="28"/>
          <w:szCs w:val="28"/>
        </w:rPr>
        <w:t>占成片开发范围总面积比例</w:t>
      </w:r>
      <w:r>
        <w:rPr>
          <w:rFonts w:ascii="仿宋_GB2312" w:eastAsia="仿宋_GB2312" w:hAnsi="微软雅黑" w:cs="仿宋_GB2312" w:hint="eastAsia"/>
          <w:sz w:val="28"/>
          <w:szCs w:val="28"/>
          <w:shd w:val="clear" w:color="auto" w:fill="FFFFFF"/>
        </w:rPr>
        <w:t>40.10</w:t>
      </w:r>
      <w:r>
        <w:rPr>
          <w:rFonts w:ascii="仿宋_GB2312" w:eastAsia="仿宋_GB2312" w:hAnsi="微软雅黑" w:cs="仿宋_GB2312"/>
          <w:sz w:val="28"/>
          <w:szCs w:val="28"/>
          <w:shd w:val="clear" w:color="auto" w:fill="FFFFFF"/>
        </w:rPr>
        <w:t>%</w:t>
      </w:r>
      <w:r>
        <w:rPr>
          <w:rFonts w:ascii="仿宋_GB2312" w:eastAsia="仿宋_GB2312" w:hint="eastAsia"/>
          <w:sz w:val="28"/>
          <w:szCs w:val="28"/>
        </w:rPr>
        <w:t>。涉及白水湖管理处港口村。</w:t>
      </w:r>
    </w:p>
    <w:p w14:paraId="44A23C03" w14:textId="77777777" w:rsidR="006205B0" w:rsidRDefault="009D7EE8">
      <w:pPr>
        <w:spacing w:line="360" w:lineRule="auto"/>
        <w:ind w:firstLineChars="200" w:firstLine="560"/>
        <w:rPr>
          <w:rFonts w:ascii="仿宋_GB2312" w:eastAsia="仿宋_GB2312" w:hAnsi="Times New Roman" w:cs="Times New Roman"/>
          <w:sz w:val="28"/>
          <w:szCs w:val="28"/>
          <w:highlight w:val="yellow"/>
        </w:rPr>
      </w:pPr>
      <w:r>
        <w:rPr>
          <w:rFonts w:ascii="仿宋_GB2312" w:eastAsia="仿宋_GB2312" w:hint="eastAsia"/>
          <w:sz w:val="28"/>
          <w:szCs w:val="28"/>
        </w:rPr>
        <w:t>3、片区三</w:t>
      </w:r>
    </w:p>
    <w:p w14:paraId="1EE519D5" w14:textId="77777777" w:rsidR="006205B0" w:rsidRDefault="009D7EE8">
      <w:pPr>
        <w:autoSpaceDE w:val="0"/>
        <w:autoSpaceDN w:val="0"/>
        <w:adjustRightInd w:val="0"/>
        <w:ind w:firstLineChars="200" w:firstLine="560"/>
        <w:rPr>
          <w:rFonts w:ascii="仿宋_GB2312" w:eastAsia="仿宋_GB2312"/>
          <w:sz w:val="28"/>
          <w:szCs w:val="28"/>
        </w:rPr>
      </w:pPr>
      <w:r>
        <w:rPr>
          <w:rFonts w:ascii="仿宋_GB2312" w:eastAsia="仿宋_GB2312" w:hAnsi="Times New Roman" w:cs="Times New Roman" w:hint="eastAsia"/>
          <w:sz w:val="28"/>
          <w:szCs w:val="28"/>
        </w:rPr>
        <w:t>片区三位于王家路以北，</w:t>
      </w:r>
      <w:proofErr w:type="gramStart"/>
      <w:r>
        <w:rPr>
          <w:rFonts w:ascii="仿宋_GB2312" w:eastAsia="仿宋_GB2312" w:hAnsi="Times New Roman" w:cs="Times New Roman" w:hint="eastAsia"/>
          <w:sz w:val="28"/>
          <w:szCs w:val="28"/>
        </w:rPr>
        <w:t>岗盛路</w:t>
      </w:r>
      <w:proofErr w:type="gramEnd"/>
      <w:r>
        <w:rPr>
          <w:rFonts w:ascii="仿宋_GB2312" w:eastAsia="仿宋_GB2312" w:hAnsi="Times New Roman" w:cs="Times New Roman" w:hint="eastAsia"/>
          <w:sz w:val="28"/>
          <w:szCs w:val="28"/>
        </w:rPr>
        <w:t>以南，流坡路以东，龙头岗三路以西，</w:t>
      </w:r>
      <w:r>
        <w:rPr>
          <w:rFonts w:ascii="仿宋_GB2312" w:eastAsia="仿宋_GB2312" w:hAnsi="Times New Roman" w:cs="Times New Roman"/>
          <w:sz w:val="28"/>
          <w:szCs w:val="28"/>
        </w:rPr>
        <w:t>总面积</w:t>
      </w:r>
      <w:r>
        <w:rPr>
          <w:rFonts w:ascii="仿宋_GB2312" w:eastAsia="仿宋_GB2312" w:hAnsi="Times New Roman" w:cs="Times New Roman" w:hint="eastAsia"/>
          <w:sz w:val="28"/>
          <w:szCs w:val="28"/>
        </w:rPr>
        <w:t>7.6376</w:t>
      </w:r>
      <w:r>
        <w:rPr>
          <w:rFonts w:ascii="仿宋_GB2312" w:eastAsia="仿宋_GB2312" w:hAnsi="Times New Roman" w:cs="Times New Roman"/>
          <w:sz w:val="28"/>
          <w:szCs w:val="28"/>
        </w:rPr>
        <w:t>公顷</w:t>
      </w:r>
      <w:r>
        <w:rPr>
          <w:rFonts w:ascii="仿宋_GB2312" w:eastAsia="仿宋_GB2312" w:hAnsi="Times New Roman" w:cs="Times New Roman" w:hint="eastAsia"/>
          <w:sz w:val="28"/>
          <w:szCs w:val="28"/>
        </w:rPr>
        <w:t>,</w:t>
      </w:r>
      <w:r>
        <w:rPr>
          <w:rFonts w:ascii="仿宋_GB2312" w:eastAsia="仿宋_GB2312" w:hint="eastAsia"/>
          <w:sz w:val="28"/>
          <w:szCs w:val="28"/>
        </w:rPr>
        <w:t>拟征收土地面积4.7397公顷,公益性用地面积</w:t>
      </w:r>
      <w:r>
        <w:rPr>
          <w:rFonts w:ascii="仿宋_GB2312" w:eastAsia="仿宋_GB2312" w:hAnsi="微软雅黑" w:cs="仿宋_GB2312" w:hint="eastAsia"/>
          <w:sz w:val="28"/>
          <w:szCs w:val="28"/>
          <w:shd w:val="clear" w:color="auto" w:fill="FFFFFF"/>
        </w:rPr>
        <w:t>3.0730公顷，</w:t>
      </w:r>
      <w:r>
        <w:rPr>
          <w:rFonts w:ascii="仿宋_GB2312" w:eastAsia="仿宋_GB2312" w:hint="eastAsia"/>
          <w:sz w:val="28"/>
          <w:szCs w:val="28"/>
        </w:rPr>
        <w:t>占成片开发范围总面积比例</w:t>
      </w:r>
      <w:r>
        <w:rPr>
          <w:rFonts w:ascii="仿宋_GB2312" w:eastAsia="仿宋_GB2312" w:hAnsi="微软雅黑" w:cs="仿宋_GB2312" w:hint="eastAsia"/>
          <w:sz w:val="28"/>
          <w:szCs w:val="28"/>
          <w:shd w:val="clear" w:color="auto" w:fill="FFFFFF"/>
        </w:rPr>
        <w:t>40.24</w:t>
      </w:r>
      <w:r>
        <w:rPr>
          <w:rFonts w:ascii="仿宋_GB2312" w:eastAsia="仿宋_GB2312" w:hAnsi="微软雅黑" w:cs="仿宋_GB2312"/>
          <w:sz w:val="28"/>
          <w:szCs w:val="28"/>
          <w:shd w:val="clear" w:color="auto" w:fill="FFFFFF"/>
        </w:rPr>
        <w:t>%</w:t>
      </w:r>
      <w:r>
        <w:rPr>
          <w:rFonts w:ascii="仿宋_GB2312" w:eastAsia="仿宋_GB2312" w:hAnsi="Times New Roman" w:cs="Times New Roman" w:hint="eastAsia"/>
          <w:sz w:val="28"/>
          <w:szCs w:val="28"/>
        </w:rPr>
        <w:t>。</w:t>
      </w:r>
      <w:r>
        <w:rPr>
          <w:rFonts w:ascii="仿宋_GB2312" w:eastAsia="仿宋_GB2312" w:hint="eastAsia"/>
          <w:sz w:val="28"/>
          <w:szCs w:val="28"/>
        </w:rPr>
        <w:t>涉及</w:t>
      </w:r>
      <w:proofErr w:type="gramStart"/>
      <w:r>
        <w:rPr>
          <w:rFonts w:ascii="仿宋_GB2312" w:eastAsia="仿宋_GB2312" w:hint="eastAsia"/>
          <w:sz w:val="28"/>
          <w:szCs w:val="28"/>
        </w:rPr>
        <w:t>樵舍镇枫杨村</w:t>
      </w:r>
      <w:proofErr w:type="gramEnd"/>
      <w:r>
        <w:rPr>
          <w:rFonts w:ascii="仿宋_GB2312" w:eastAsia="仿宋_GB2312" w:hint="eastAsia"/>
          <w:sz w:val="28"/>
          <w:szCs w:val="28"/>
        </w:rPr>
        <w:t>。</w:t>
      </w:r>
    </w:p>
    <w:p w14:paraId="561CB294" w14:textId="77777777" w:rsidR="006205B0" w:rsidRDefault="009D7EE8">
      <w:pPr>
        <w:spacing w:line="360" w:lineRule="auto"/>
        <w:ind w:firstLineChars="200" w:firstLine="560"/>
        <w:rPr>
          <w:rFonts w:ascii="仿宋_GB2312" w:eastAsia="仿宋_GB2312" w:hAnsi="Times New Roman" w:cs="Times New Roman"/>
          <w:sz w:val="28"/>
          <w:szCs w:val="28"/>
        </w:rPr>
      </w:pPr>
      <w:r>
        <w:rPr>
          <w:rFonts w:ascii="仿宋_GB2312" w:eastAsia="仿宋_GB2312" w:hint="eastAsia"/>
          <w:sz w:val="28"/>
          <w:szCs w:val="28"/>
        </w:rPr>
        <w:t>4、片区四</w:t>
      </w:r>
    </w:p>
    <w:p w14:paraId="25FBCC6E" w14:textId="77777777" w:rsidR="006205B0" w:rsidRDefault="009D7EE8">
      <w:pPr>
        <w:spacing w:line="360" w:lineRule="auto"/>
        <w:ind w:firstLineChars="200" w:firstLine="560"/>
        <w:rPr>
          <w:rFonts w:ascii="仿宋_GB2312" w:eastAsia="仿宋_GB2312"/>
          <w:sz w:val="28"/>
          <w:szCs w:val="28"/>
        </w:rPr>
      </w:pPr>
      <w:r>
        <w:rPr>
          <w:rFonts w:ascii="仿宋_GB2312" w:eastAsia="仿宋_GB2312" w:hAnsi="Times New Roman" w:cs="Times New Roman" w:hint="eastAsia"/>
          <w:sz w:val="28"/>
          <w:szCs w:val="28"/>
        </w:rPr>
        <w:lastRenderedPageBreak/>
        <w:t>片区</w:t>
      </w:r>
      <w:proofErr w:type="gramStart"/>
      <w:r>
        <w:rPr>
          <w:rFonts w:ascii="仿宋_GB2312" w:eastAsia="仿宋_GB2312" w:hAnsi="Times New Roman" w:cs="Times New Roman" w:hint="eastAsia"/>
          <w:sz w:val="28"/>
          <w:szCs w:val="28"/>
        </w:rPr>
        <w:t>四位于昌</w:t>
      </w:r>
      <w:proofErr w:type="gramEnd"/>
      <w:r>
        <w:rPr>
          <w:rFonts w:ascii="仿宋_GB2312" w:eastAsia="仿宋_GB2312" w:hAnsi="Times New Roman" w:cs="Times New Roman" w:hint="eastAsia"/>
          <w:sz w:val="28"/>
          <w:szCs w:val="28"/>
        </w:rPr>
        <w:t>西加油站以北，昌九城际</w:t>
      </w:r>
      <w:r>
        <w:rPr>
          <w:rFonts w:ascii="仿宋_GB2312" w:eastAsia="仿宋_GB2312" w:hint="eastAsia"/>
          <w:sz w:val="28"/>
          <w:szCs w:val="28"/>
        </w:rPr>
        <w:t>铁路以东，昌北二小以西，总面积2.7472公顷,拟征收土地面积1.9313公顷，公益性用地面积1.7702公顷，占成片开发范围总面积比例64.44</w:t>
      </w:r>
      <w:r>
        <w:rPr>
          <w:rFonts w:ascii="仿宋_GB2312" w:eastAsia="仿宋_GB2312"/>
          <w:sz w:val="28"/>
          <w:szCs w:val="28"/>
        </w:rPr>
        <w:t>%</w:t>
      </w:r>
      <w:r>
        <w:rPr>
          <w:rFonts w:ascii="仿宋_GB2312" w:eastAsia="仿宋_GB2312" w:hint="eastAsia"/>
          <w:sz w:val="28"/>
          <w:szCs w:val="28"/>
        </w:rPr>
        <w:t>，涉及</w:t>
      </w:r>
      <w:proofErr w:type="gramStart"/>
      <w:r>
        <w:rPr>
          <w:rFonts w:ascii="仿宋_GB2312" w:eastAsia="仿宋_GB2312" w:hint="eastAsia"/>
          <w:sz w:val="28"/>
          <w:szCs w:val="28"/>
        </w:rPr>
        <w:t>蛟</w:t>
      </w:r>
      <w:proofErr w:type="gramEnd"/>
      <w:r>
        <w:rPr>
          <w:rFonts w:ascii="仿宋_GB2312" w:eastAsia="仿宋_GB2312" w:hint="eastAsia"/>
          <w:sz w:val="28"/>
          <w:szCs w:val="28"/>
        </w:rPr>
        <w:t>桥镇卫国村。</w:t>
      </w:r>
    </w:p>
    <w:p w14:paraId="47DE6AAE" w14:textId="77777777" w:rsidR="006205B0" w:rsidRDefault="009D7EE8">
      <w:pPr>
        <w:spacing w:line="360" w:lineRule="auto"/>
        <w:ind w:firstLineChars="200" w:firstLine="560"/>
        <w:rPr>
          <w:rFonts w:ascii="仿宋_GB2312" w:eastAsia="仿宋_GB2312" w:hAnsi="Times New Roman" w:cs="Times New Roman"/>
          <w:sz w:val="28"/>
          <w:szCs w:val="28"/>
        </w:rPr>
      </w:pPr>
      <w:r>
        <w:rPr>
          <w:rFonts w:ascii="仿宋_GB2312" w:eastAsia="仿宋_GB2312" w:hint="eastAsia"/>
          <w:sz w:val="28"/>
          <w:szCs w:val="28"/>
        </w:rPr>
        <w:t>5、片区五</w:t>
      </w:r>
    </w:p>
    <w:p w14:paraId="3AAF836E" w14:textId="77777777" w:rsidR="006205B0" w:rsidRDefault="009D7EE8">
      <w:pPr>
        <w:autoSpaceDE w:val="0"/>
        <w:autoSpaceDN w:val="0"/>
        <w:adjustRightInd w:val="0"/>
        <w:ind w:firstLineChars="200" w:firstLine="560"/>
        <w:rPr>
          <w:rFonts w:ascii="仿宋_GB2312" w:eastAsia="仿宋_GB2312" w:hAnsi="微软雅黑" w:cs="仿宋_GB2312"/>
          <w:sz w:val="28"/>
          <w:szCs w:val="28"/>
          <w:shd w:val="clear" w:color="auto" w:fill="FFFFFF"/>
        </w:rPr>
      </w:pPr>
      <w:r>
        <w:rPr>
          <w:rFonts w:ascii="仿宋_GB2312" w:eastAsia="仿宋_GB2312" w:hAnsi="Times New Roman" w:cs="Times New Roman" w:hint="eastAsia"/>
          <w:sz w:val="28"/>
          <w:szCs w:val="28"/>
        </w:rPr>
        <w:t>片区五位于下</w:t>
      </w:r>
      <w:proofErr w:type="gramStart"/>
      <w:r>
        <w:rPr>
          <w:rFonts w:ascii="仿宋_GB2312" w:eastAsia="仿宋_GB2312" w:hAnsi="Times New Roman" w:cs="Times New Roman" w:hint="eastAsia"/>
          <w:sz w:val="28"/>
          <w:szCs w:val="28"/>
        </w:rPr>
        <w:t>罗车辆</w:t>
      </w:r>
      <w:proofErr w:type="gramEnd"/>
      <w:r>
        <w:rPr>
          <w:rFonts w:ascii="仿宋_GB2312" w:eastAsia="仿宋_GB2312" w:hAnsi="Times New Roman" w:cs="Times New Roman" w:hint="eastAsia"/>
          <w:sz w:val="28"/>
          <w:szCs w:val="28"/>
        </w:rPr>
        <w:t>管理所以北，</w:t>
      </w:r>
      <w:proofErr w:type="gramStart"/>
      <w:r>
        <w:rPr>
          <w:rFonts w:ascii="仿宋_GB2312" w:eastAsia="仿宋_GB2312" w:hAnsi="Times New Roman" w:cs="Times New Roman" w:hint="eastAsia"/>
          <w:sz w:val="28"/>
          <w:szCs w:val="28"/>
        </w:rPr>
        <w:t>南齿路以南</w:t>
      </w:r>
      <w:proofErr w:type="gramEnd"/>
      <w:r>
        <w:rPr>
          <w:rFonts w:ascii="仿宋_GB2312" w:eastAsia="仿宋_GB2312" w:hAnsi="Times New Roman" w:cs="Times New Roman" w:hint="eastAsia"/>
          <w:sz w:val="28"/>
          <w:szCs w:val="28"/>
        </w:rPr>
        <w:t>、</w:t>
      </w:r>
      <w:proofErr w:type="gramStart"/>
      <w:r>
        <w:rPr>
          <w:rFonts w:ascii="仿宋_GB2312" w:eastAsia="仿宋_GB2312" w:hAnsi="Times New Roman" w:cs="Times New Roman" w:hint="eastAsia"/>
          <w:sz w:val="28"/>
          <w:szCs w:val="28"/>
        </w:rPr>
        <w:t>枫景佳苑</w:t>
      </w:r>
      <w:proofErr w:type="gramEnd"/>
      <w:r>
        <w:rPr>
          <w:rFonts w:ascii="仿宋_GB2312" w:eastAsia="仿宋_GB2312" w:hAnsi="Times New Roman" w:cs="Times New Roman" w:hint="eastAsia"/>
          <w:sz w:val="28"/>
          <w:szCs w:val="28"/>
        </w:rPr>
        <w:t>以东，</w:t>
      </w:r>
      <w:proofErr w:type="gramStart"/>
      <w:r>
        <w:rPr>
          <w:rFonts w:ascii="仿宋_GB2312" w:eastAsia="仿宋_GB2312" w:hAnsi="Times New Roman" w:cs="Times New Roman" w:hint="eastAsia"/>
          <w:sz w:val="28"/>
          <w:szCs w:val="28"/>
        </w:rPr>
        <w:t>枫生快速</w:t>
      </w:r>
      <w:proofErr w:type="gramEnd"/>
      <w:r>
        <w:rPr>
          <w:rFonts w:ascii="仿宋_GB2312" w:eastAsia="仿宋_GB2312" w:hAnsi="Times New Roman" w:cs="Times New Roman" w:hint="eastAsia"/>
          <w:sz w:val="28"/>
          <w:szCs w:val="28"/>
        </w:rPr>
        <w:t>路以西，</w:t>
      </w:r>
      <w:r>
        <w:rPr>
          <w:rFonts w:ascii="仿宋_GB2312" w:eastAsia="仿宋_GB2312" w:hAnsi="Times New Roman" w:cs="Times New Roman"/>
          <w:sz w:val="28"/>
          <w:szCs w:val="28"/>
        </w:rPr>
        <w:t>总面积</w:t>
      </w:r>
      <w:r>
        <w:rPr>
          <w:rFonts w:ascii="仿宋_GB2312" w:eastAsia="仿宋_GB2312" w:hAnsi="Times New Roman" w:cs="Times New Roman" w:hint="eastAsia"/>
          <w:sz w:val="28"/>
          <w:szCs w:val="28"/>
        </w:rPr>
        <w:t>23.3623</w:t>
      </w:r>
      <w:r>
        <w:rPr>
          <w:rFonts w:ascii="仿宋_GB2312" w:eastAsia="仿宋_GB2312" w:hAnsi="Times New Roman" w:cs="Times New Roman"/>
          <w:sz w:val="28"/>
          <w:szCs w:val="28"/>
        </w:rPr>
        <w:t>公顷</w:t>
      </w:r>
      <w:r>
        <w:rPr>
          <w:rFonts w:ascii="仿宋_GB2312" w:eastAsia="仿宋_GB2312" w:hAnsi="Times New Roman" w:cs="Times New Roman" w:hint="eastAsia"/>
          <w:sz w:val="28"/>
          <w:szCs w:val="28"/>
        </w:rPr>
        <w:t>,</w:t>
      </w:r>
      <w:r>
        <w:rPr>
          <w:rFonts w:ascii="仿宋_GB2312" w:eastAsia="仿宋_GB2312" w:hint="eastAsia"/>
          <w:sz w:val="28"/>
          <w:szCs w:val="28"/>
        </w:rPr>
        <w:t>拟征收土地面积17.9905公顷,公益性用地面积</w:t>
      </w:r>
      <w:r>
        <w:rPr>
          <w:rFonts w:ascii="仿宋_GB2312" w:eastAsia="仿宋_GB2312" w:hAnsi="微软雅黑" w:cs="仿宋_GB2312" w:hint="eastAsia"/>
          <w:sz w:val="28"/>
          <w:szCs w:val="28"/>
          <w:shd w:val="clear" w:color="auto" w:fill="FFFFFF"/>
        </w:rPr>
        <w:t>9.4786公顷，</w:t>
      </w:r>
      <w:r>
        <w:rPr>
          <w:rFonts w:ascii="仿宋_GB2312" w:eastAsia="仿宋_GB2312" w:hint="eastAsia"/>
          <w:sz w:val="28"/>
          <w:szCs w:val="28"/>
        </w:rPr>
        <w:t>占成片开发范围总面积比例</w:t>
      </w:r>
      <w:r>
        <w:rPr>
          <w:rFonts w:ascii="仿宋_GB2312" w:eastAsia="仿宋_GB2312" w:hAnsi="微软雅黑" w:cs="仿宋_GB2312" w:hint="eastAsia"/>
          <w:sz w:val="28"/>
          <w:szCs w:val="28"/>
          <w:shd w:val="clear" w:color="auto" w:fill="FFFFFF"/>
        </w:rPr>
        <w:t>40.57</w:t>
      </w:r>
      <w:r>
        <w:rPr>
          <w:rFonts w:ascii="仿宋_GB2312" w:eastAsia="仿宋_GB2312" w:hAnsi="微软雅黑" w:cs="仿宋_GB2312"/>
          <w:sz w:val="28"/>
          <w:szCs w:val="28"/>
          <w:shd w:val="clear" w:color="auto" w:fill="FFFFFF"/>
        </w:rPr>
        <w:t>%</w:t>
      </w:r>
      <w:r>
        <w:rPr>
          <w:rFonts w:ascii="仿宋_GB2312" w:eastAsia="仿宋_GB2312" w:hAnsi="微软雅黑" w:cs="仿宋_GB2312" w:hint="eastAsia"/>
          <w:sz w:val="28"/>
          <w:szCs w:val="28"/>
          <w:shd w:val="clear" w:color="auto" w:fill="FFFFFF"/>
        </w:rPr>
        <w:t>，涉及白水湖管理处</w:t>
      </w:r>
      <w:proofErr w:type="gramStart"/>
      <w:r>
        <w:rPr>
          <w:rFonts w:ascii="仿宋_GB2312" w:eastAsia="仿宋_GB2312" w:hAnsi="微软雅黑" w:cs="仿宋_GB2312" w:hint="eastAsia"/>
          <w:sz w:val="28"/>
          <w:szCs w:val="28"/>
          <w:shd w:val="clear" w:color="auto" w:fill="FFFFFF"/>
        </w:rPr>
        <w:t>蛟</w:t>
      </w:r>
      <w:proofErr w:type="gramEnd"/>
      <w:r>
        <w:rPr>
          <w:rFonts w:ascii="仿宋_GB2312" w:eastAsia="仿宋_GB2312" w:hAnsi="微软雅黑" w:cs="仿宋_GB2312" w:hint="eastAsia"/>
          <w:sz w:val="28"/>
          <w:szCs w:val="28"/>
          <w:shd w:val="clear" w:color="auto" w:fill="FFFFFF"/>
        </w:rPr>
        <w:t>桥村、</w:t>
      </w:r>
      <w:proofErr w:type="gramStart"/>
      <w:r>
        <w:rPr>
          <w:rFonts w:ascii="仿宋_GB2312" w:eastAsia="仿宋_GB2312" w:hAnsi="微软雅黑" w:cs="仿宋_GB2312" w:hint="eastAsia"/>
          <w:sz w:val="28"/>
          <w:szCs w:val="28"/>
          <w:shd w:val="clear" w:color="auto" w:fill="FFFFFF"/>
        </w:rPr>
        <w:t>冠山管理处</w:t>
      </w:r>
      <w:proofErr w:type="gramEnd"/>
      <w:r>
        <w:rPr>
          <w:rFonts w:ascii="仿宋_GB2312" w:eastAsia="仿宋_GB2312" w:hAnsi="微软雅黑" w:cs="仿宋_GB2312" w:hint="eastAsia"/>
          <w:sz w:val="28"/>
          <w:szCs w:val="28"/>
          <w:shd w:val="clear" w:color="auto" w:fill="FFFFFF"/>
        </w:rPr>
        <w:t>枫林村、</w:t>
      </w:r>
      <w:proofErr w:type="gramStart"/>
      <w:r>
        <w:rPr>
          <w:rFonts w:ascii="仿宋_GB2312" w:eastAsia="仿宋_GB2312" w:hAnsi="微软雅黑" w:cs="仿宋_GB2312" w:hint="eastAsia"/>
          <w:sz w:val="28"/>
          <w:szCs w:val="28"/>
          <w:shd w:val="clear" w:color="auto" w:fill="FFFFFF"/>
        </w:rPr>
        <w:t>蛟</w:t>
      </w:r>
      <w:proofErr w:type="gramEnd"/>
      <w:r>
        <w:rPr>
          <w:rFonts w:ascii="仿宋_GB2312" w:eastAsia="仿宋_GB2312" w:hAnsi="微软雅黑" w:cs="仿宋_GB2312" w:hint="eastAsia"/>
          <w:sz w:val="28"/>
          <w:szCs w:val="28"/>
          <w:shd w:val="clear" w:color="auto" w:fill="FFFFFF"/>
        </w:rPr>
        <w:t>桥</w:t>
      </w:r>
      <w:proofErr w:type="gramStart"/>
      <w:r>
        <w:rPr>
          <w:rFonts w:ascii="仿宋_GB2312" w:eastAsia="仿宋_GB2312" w:hAnsi="微软雅黑" w:cs="仿宋_GB2312" w:hint="eastAsia"/>
          <w:sz w:val="28"/>
          <w:szCs w:val="28"/>
          <w:shd w:val="clear" w:color="auto" w:fill="FFFFFF"/>
        </w:rPr>
        <w:t>镇枫景</w:t>
      </w:r>
      <w:proofErr w:type="gramEnd"/>
      <w:r>
        <w:rPr>
          <w:rFonts w:ascii="仿宋_GB2312" w:eastAsia="仿宋_GB2312" w:hAnsi="微软雅黑" w:cs="仿宋_GB2312" w:hint="eastAsia"/>
          <w:sz w:val="28"/>
          <w:szCs w:val="28"/>
          <w:shd w:val="clear" w:color="auto" w:fill="FFFFFF"/>
        </w:rPr>
        <w:t>村。</w:t>
      </w:r>
    </w:p>
    <w:p w14:paraId="7A51F437" w14:textId="77777777" w:rsidR="006205B0" w:rsidRDefault="009D7EE8">
      <w:pPr>
        <w:pStyle w:val="1"/>
        <w:spacing w:line="240" w:lineRule="auto"/>
        <w:ind w:left="0" w:firstLineChars="200" w:firstLine="640"/>
        <w:rPr>
          <w:rFonts w:ascii="黑体" w:eastAsia="黑体" w:hAnsi="黑体"/>
          <w:b w:val="0"/>
          <w:bCs w:val="0"/>
          <w:sz w:val="32"/>
          <w:szCs w:val="32"/>
        </w:rPr>
      </w:pPr>
      <w:bookmarkStart w:id="1" w:name="_Toc69736450"/>
      <w:r>
        <w:rPr>
          <w:rFonts w:ascii="黑体" w:eastAsia="黑体" w:hAnsi="黑体" w:hint="eastAsia"/>
          <w:b w:val="0"/>
          <w:bCs w:val="0"/>
          <w:sz w:val="32"/>
          <w:szCs w:val="32"/>
        </w:rPr>
        <w:t>三、必要性</w:t>
      </w:r>
      <w:bookmarkEnd w:id="1"/>
    </w:p>
    <w:p w14:paraId="3512D958" w14:textId="77777777" w:rsidR="006205B0" w:rsidRDefault="009D7EE8">
      <w:pPr>
        <w:pStyle w:val="1"/>
        <w:spacing w:line="240" w:lineRule="auto"/>
        <w:ind w:left="0" w:firstLineChars="200" w:firstLine="560"/>
        <w:rPr>
          <w:rFonts w:ascii="仿宋_GB2312" w:eastAsia="仿宋_GB2312" w:hAnsi="Times New Roman" w:cstheme="minorBidi"/>
          <w:b w:val="0"/>
          <w:bCs w:val="0"/>
          <w:kern w:val="2"/>
          <w:sz w:val="28"/>
          <w:szCs w:val="28"/>
        </w:rPr>
      </w:pPr>
      <w:bookmarkStart w:id="2" w:name="_Toc69736453"/>
      <w:r>
        <w:rPr>
          <w:rFonts w:ascii="仿宋_GB2312" w:eastAsia="仿宋_GB2312" w:hAnsi="Times New Roman" w:cstheme="minorBidi" w:hint="eastAsia"/>
          <w:b w:val="0"/>
          <w:bCs w:val="0"/>
          <w:kern w:val="2"/>
          <w:sz w:val="28"/>
          <w:szCs w:val="28"/>
        </w:rPr>
        <w:t>1、</w:t>
      </w:r>
      <w:r>
        <w:rPr>
          <w:rFonts w:ascii="仿宋_GB2312" w:eastAsia="仿宋_GB2312" w:hAnsiTheme="minorHAnsi" w:cstheme="minorBidi" w:hint="eastAsia"/>
          <w:b w:val="0"/>
          <w:bCs w:val="0"/>
          <w:kern w:val="2"/>
          <w:sz w:val="28"/>
          <w:szCs w:val="28"/>
          <w:lang w:bidi="ar"/>
        </w:rPr>
        <w:t>切实保护农民利益的需要</w:t>
      </w:r>
    </w:p>
    <w:p w14:paraId="2F28C615" w14:textId="77777777" w:rsidR="006205B0" w:rsidRDefault="009D7EE8">
      <w:pPr>
        <w:pStyle w:val="1"/>
        <w:spacing w:line="240" w:lineRule="auto"/>
        <w:ind w:left="0" w:firstLineChars="200" w:firstLine="560"/>
        <w:rPr>
          <w:rFonts w:ascii="仿宋_GB2312" w:eastAsia="仿宋_GB2312" w:hAnsi="Times New Roman" w:cstheme="minorBidi"/>
          <w:b w:val="0"/>
          <w:bCs w:val="0"/>
          <w:kern w:val="2"/>
          <w:sz w:val="28"/>
          <w:szCs w:val="28"/>
        </w:rPr>
      </w:pPr>
      <w:r>
        <w:rPr>
          <w:rFonts w:ascii="仿宋_GB2312" w:eastAsia="仿宋_GB2312" w:hAnsi="Times New Roman" w:cstheme="minorBidi" w:hint="eastAsia"/>
          <w:b w:val="0"/>
          <w:bCs w:val="0"/>
          <w:kern w:val="2"/>
          <w:sz w:val="28"/>
          <w:szCs w:val="28"/>
        </w:rPr>
        <w:t>2、保障重点项目落地，推动产业发展</w:t>
      </w:r>
    </w:p>
    <w:p w14:paraId="4A43E78C" w14:textId="77777777" w:rsidR="006205B0" w:rsidRDefault="009D7EE8">
      <w:pPr>
        <w:pStyle w:val="1"/>
        <w:spacing w:line="240" w:lineRule="auto"/>
        <w:ind w:left="0" w:firstLineChars="200" w:firstLine="560"/>
        <w:rPr>
          <w:rFonts w:ascii="仿宋_GB2312" w:eastAsia="仿宋_GB2312" w:hAnsi="Times New Roman" w:cstheme="minorBidi"/>
          <w:b w:val="0"/>
          <w:bCs w:val="0"/>
          <w:kern w:val="2"/>
          <w:sz w:val="28"/>
          <w:szCs w:val="28"/>
        </w:rPr>
      </w:pPr>
      <w:r>
        <w:rPr>
          <w:rFonts w:ascii="仿宋_GB2312" w:eastAsia="仿宋_GB2312" w:hAnsi="Times New Roman" w:cstheme="minorBidi" w:hint="eastAsia"/>
          <w:b w:val="0"/>
          <w:bCs w:val="0"/>
          <w:kern w:val="2"/>
          <w:sz w:val="28"/>
          <w:szCs w:val="28"/>
        </w:rPr>
        <w:t>3、完善区域公共配套设施与基础设施建设</w:t>
      </w:r>
    </w:p>
    <w:p w14:paraId="2A16D07C" w14:textId="77777777" w:rsidR="006205B0" w:rsidRDefault="009D7EE8">
      <w:pPr>
        <w:pStyle w:val="1"/>
        <w:spacing w:line="240" w:lineRule="auto"/>
        <w:ind w:left="0" w:firstLineChars="200" w:firstLine="560"/>
        <w:rPr>
          <w:rFonts w:ascii="仿宋_GB2312" w:eastAsia="仿宋_GB2312" w:hAnsi="Times New Roman" w:cstheme="minorBidi"/>
          <w:b w:val="0"/>
          <w:bCs w:val="0"/>
          <w:kern w:val="2"/>
          <w:sz w:val="28"/>
          <w:szCs w:val="28"/>
        </w:rPr>
      </w:pPr>
      <w:r>
        <w:rPr>
          <w:rFonts w:ascii="仿宋_GB2312" w:eastAsia="仿宋_GB2312" w:hAnsi="Times New Roman" w:cstheme="minorBidi" w:hint="eastAsia"/>
          <w:b w:val="0"/>
          <w:bCs w:val="0"/>
          <w:kern w:val="2"/>
          <w:sz w:val="28"/>
          <w:szCs w:val="28"/>
        </w:rPr>
        <w:t>4、打造生态宜居都市的需求。</w:t>
      </w:r>
    </w:p>
    <w:p w14:paraId="4848EABB" w14:textId="77777777" w:rsidR="006205B0" w:rsidRDefault="009D7EE8">
      <w:pPr>
        <w:pStyle w:val="1"/>
        <w:spacing w:line="240" w:lineRule="auto"/>
        <w:ind w:left="0" w:firstLineChars="200" w:firstLine="640"/>
        <w:rPr>
          <w:rFonts w:ascii="黑体" w:eastAsia="黑体" w:hAnsi="黑体"/>
          <w:b w:val="0"/>
          <w:bCs w:val="0"/>
          <w:sz w:val="32"/>
          <w:szCs w:val="32"/>
        </w:rPr>
      </w:pPr>
      <w:r>
        <w:rPr>
          <w:rFonts w:ascii="黑体" w:eastAsia="黑体" w:hAnsi="黑体" w:hint="eastAsia"/>
          <w:b w:val="0"/>
          <w:bCs w:val="0"/>
          <w:sz w:val="32"/>
          <w:szCs w:val="32"/>
        </w:rPr>
        <w:t>四、合</w:t>
      </w:r>
      <w:proofErr w:type="gramStart"/>
      <w:r>
        <w:rPr>
          <w:rFonts w:ascii="黑体" w:eastAsia="黑体" w:hAnsi="黑体" w:hint="eastAsia"/>
          <w:b w:val="0"/>
          <w:bCs w:val="0"/>
          <w:sz w:val="32"/>
          <w:szCs w:val="32"/>
        </w:rPr>
        <w:t>规</w:t>
      </w:r>
      <w:proofErr w:type="gramEnd"/>
      <w:r>
        <w:rPr>
          <w:rFonts w:ascii="黑体" w:eastAsia="黑体" w:hAnsi="黑体" w:hint="eastAsia"/>
          <w:b w:val="0"/>
          <w:bCs w:val="0"/>
          <w:sz w:val="32"/>
          <w:szCs w:val="32"/>
        </w:rPr>
        <w:t>性</w:t>
      </w:r>
      <w:bookmarkEnd w:id="2"/>
    </w:p>
    <w:p w14:paraId="3061DEED" w14:textId="77777777" w:rsidR="006205B0" w:rsidRDefault="009D7EE8">
      <w:pPr>
        <w:spacing w:line="360" w:lineRule="auto"/>
        <w:ind w:firstLine="640"/>
        <w:rPr>
          <w:rFonts w:ascii="仿宋_GB2312" w:eastAsia="仿宋_GB2312" w:hAnsi="Times New Roman"/>
          <w:sz w:val="28"/>
          <w:szCs w:val="28"/>
        </w:rPr>
      </w:pPr>
      <w:r>
        <w:rPr>
          <w:rFonts w:ascii="仿宋_GB2312" w:eastAsia="仿宋_GB2312" w:hAnsi="仿宋_GB2312" w:cs="仿宋_GB2312"/>
          <w:color w:val="000000"/>
          <w:sz w:val="28"/>
          <w:szCs w:val="28"/>
        </w:rPr>
        <w:t>本方案符合国民经济和社会发展规划的发展定位、要求，有利于完成规划目标、任务，已纳入国民经济和社会发展年度计划。成片开发范围布局在城镇开发边界的集中建设区，符合自然资源部下发的城镇开发边界</w:t>
      </w:r>
      <w:r>
        <w:rPr>
          <w:rFonts w:ascii="仿宋_GB2312" w:eastAsia="仿宋_GB2312" w:hAnsi="Times New Roman" w:hint="eastAsia"/>
          <w:sz w:val="28"/>
          <w:szCs w:val="28"/>
        </w:rPr>
        <w:t>。</w:t>
      </w:r>
      <w:r>
        <w:rPr>
          <w:rFonts w:ascii="仿宋_GB2312" w:eastAsia="仿宋_GB2312" w:hAnsi="宋体" w:cs="仿宋_GB2312" w:hint="eastAsia"/>
          <w:color w:val="000000"/>
          <w:kern w:val="0"/>
          <w:sz w:val="28"/>
          <w:szCs w:val="28"/>
          <w:lang w:bidi="ar"/>
        </w:rPr>
        <w:t>成片开发范围不占用永久基本农田、不占用生态保护红线，不涉及自然保护地、一级保护林地、历史文化街区名镇名村等特定区域，不涉及土壤污染或疑似污染地块，位于地质灾害易发区外，不涉及矿产地和采矿权，</w:t>
      </w:r>
      <w:r>
        <w:rPr>
          <w:rFonts w:ascii="仿宋_GB2312" w:eastAsia="仿宋_GB2312" w:hAnsi="仿宋_GB2312" w:cs="仿宋_GB2312"/>
          <w:color w:val="000000"/>
          <w:sz w:val="28"/>
          <w:szCs w:val="28"/>
        </w:rPr>
        <w:t>符合成片开发项目送审报批的要求。</w:t>
      </w:r>
    </w:p>
    <w:p w14:paraId="35B1FF84" w14:textId="77777777" w:rsidR="006205B0" w:rsidRDefault="009D7EE8">
      <w:pPr>
        <w:pStyle w:val="1"/>
        <w:spacing w:line="240" w:lineRule="auto"/>
        <w:ind w:left="0" w:firstLineChars="200" w:firstLine="640"/>
        <w:rPr>
          <w:rFonts w:ascii="黑体" w:eastAsia="黑体" w:hAnsi="黑体"/>
          <w:b w:val="0"/>
          <w:bCs w:val="0"/>
          <w:sz w:val="32"/>
          <w:szCs w:val="32"/>
        </w:rPr>
      </w:pPr>
      <w:bookmarkStart w:id="3" w:name="_Toc69736458"/>
      <w:r>
        <w:rPr>
          <w:rFonts w:ascii="黑体" w:eastAsia="黑体" w:hAnsi="黑体" w:hint="eastAsia"/>
          <w:b w:val="0"/>
          <w:bCs w:val="0"/>
          <w:sz w:val="32"/>
          <w:szCs w:val="32"/>
        </w:rPr>
        <w:lastRenderedPageBreak/>
        <w:t>五、主要用途和实现功能</w:t>
      </w:r>
      <w:bookmarkEnd w:id="3"/>
    </w:p>
    <w:p w14:paraId="08A4477E" w14:textId="77777777" w:rsidR="006205B0" w:rsidRDefault="009D7EE8">
      <w:pPr>
        <w:widowControl/>
        <w:ind w:firstLineChars="200" w:firstLine="560"/>
        <w:jc w:val="left"/>
        <w:rPr>
          <w:rFonts w:ascii="仿宋_GB2312" w:eastAsia="仿宋_GB2312" w:hAnsi="宋体" w:cs="仿宋_GB2312"/>
          <w:color w:val="000000"/>
          <w:kern w:val="0"/>
          <w:sz w:val="28"/>
          <w:szCs w:val="28"/>
          <w:lang w:bidi="ar"/>
        </w:rPr>
      </w:pPr>
      <w:r>
        <w:rPr>
          <w:rFonts w:ascii="仿宋_GB2312" w:eastAsia="仿宋_GB2312" w:hAnsi="宋体" w:cs="仿宋_GB2312" w:hint="eastAsia"/>
          <w:color w:val="000000"/>
          <w:kern w:val="0"/>
          <w:sz w:val="28"/>
          <w:szCs w:val="28"/>
          <w:lang w:bidi="ar"/>
        </w:rPr>
        <w:t>本成片开发方案用地总面积</w:t>
      </w:r>
      <w:r>
        <w:rPr>
          <w:rFonts w:ascii="仿宋_GB2312" w:eastAsia="仿宋_GB2312" w:hint="eastAsia"/>
          <w:sz w:val="28"/>
        </w:rPr>
        <w:t>120.0732公顷</w:t>
      </w:r>
      <w:r>
        <w:rPr>
          <w:rFonts w:ascii="仿宋_GB2312" w:eastAsia="仿宋_GB2312" w:hAnsi="宋体" w:cs="仿宋_GB2312" w:hint="eastAsia"/>
          <w:color w:val="000000"/>
          <w:kern w:val="0"/>
          <w:sz w:val="28"/>
          <w:szCs w:val="28"/>
          <w:lang w:bidi="ar"/>
        </w:rPr>
        <w:t>，根据各地</w:t>
      </w:r>
      <w:proofErr w:type="gramStart"/>
      <w:r>
        <w:rPr>
          <w:rFonts w:ascii="仿宋_GB2312" w:eastAsia="仿宋_GB2312" w:hAnsi="宋体" w:cs="仿宋_GB2312" w:hint="eastAsia"/>
          <w:color w:val="000000"/>
          <w:kern w:val="0"/>
          <w:sz w:val="28"/>
          <w:szCs w:val="28"/>
          <w:lang w:bidi="ar"/>
        </w:rPr>
        <w:t>块实际</w:t>
      </w:r>
      <w:proofErr w:type="gramEnd"/>
      <w:r>
        <w:rPr>
          <w:rFonts w:ascii="仿宋_GB2312" w:eastAsia="仿宋_GB2312" w:hAnsi="宋体" w:cs="仿宋_GB2312" w:hint="eastAsia"/>
          <w:color w:val="000000"/>
          <w:kern w:val="0"/>
          <w:sz w:val="28"/>
          <w:szCs w:val="28"/>
          <w:lang w:bidi="ar"/>
        </w:rPr>
        <w:t>用途和实现功能划分，各地</w:t>
      </w:r>
      <w:proofErr w:type="gramStart"/>
      <w:r>
        <w:rPr>
          <w:rFonts w:ascii="仿宋_GB2312" w:eastAsia="仿宋_GB2312" w:hAnsi="宋体" w:cs="仿宋_GB2312" w:hint="eastAsia"/>
          <w:color w:val="000000"/>
          <w:kern w:val="0"/>
          <w:sz w:val="28"/>
          <w:szCs w:val="28"/>
          <w:lang w:bidi="ar"/>
        </w:rPr>
        <w:t>块规划</w:t>
      </w:r>
      <w:proofErr w:type="gramEnd"/>
      <w:r>
        <w:rPr>
          <w:rFonts w:ascii="仿宋_GB2312" w:eastAsia="仿宋_GB2312" w:hAnsi="宋体" w:cs="仿宋_GB2312" w:hint="eastAsia"/>
          <w:color w:val="000000"/>
          <w:kern w:val="0"/>
          <w:sz w:val="28"/>
          <w:szCs w:val="28"/>
          <w:lang w:bidi="ar"/>
        </w:rPr>
        <w:t>主要用途为居住用地、公共管理与公共服务用地、商业服务业用地、交通运输用地、公用设施用地、绿地与开敞空间用地、陆地水域、工矿用地。其中居住用地13.8837</w:t>
      </w:r>
      <w:r>
        <w:rPr>
          <w:rFonts w:ascii="仿宋_GB2312" w:eastAsia="仿宋_GB2312" w:hAnsi="宋体" w:cs="仿宋_GB2312"/>
          <w:color w:val="000000"/>
          <w:kern w:val="0"/>
          <w:sz w:val="28"/>
          <w:szCs w:val="28"/>
          <w:lang w:bidi="ar"/>
        </w:rPr>
        <w:t xml:space="preserve"> </w:t>
      </w:r>
      <w:r>
        <w:rPr>
          <w:rFonts w:ascii="仿宋_GB2312" w:eastAsia="仿宋_GB2312" w:hAnsi="宋体" w:cs="仿宋_GB2312" w:hint="eastAsia"/>
          <w:color w:val="000000"/>
          <w:kern w:val="0"/>
          <w:sz w:val="28"/>
          <w:szCs w:val="28"/>
          <w:lang w:bidi="ar"/>
        </w:rPr>
        <w:t>公顷，占比11.56</w:t>
      </w:r>
      <w:r>
        <w:rPr>
          <w:rFonts w:ascii="仿宋_GB2312" w:eastAsia="仿宋_GB2312" w:hAnsi="宋体" w:cs="仿宋_GB2312"/>
          <w:color w:val="000000"/>
          <w:kern w:val="0"/>
          <w:sz w:val="28"/>
          <w:szCs w:val="28"/>
          <w:lang w:bidi="ar"/>
        </w:rPr>
        <w:t>%</w:t>
      </w:r>
      <w:r>
        <w:rPr>
          <w:rFonts w:ascii="仿宋_GB2312" w:eastAsia="仿宋_GB2312" w:hAnsi="宋体" w:cs="仿宋_GB2312" w:hint="eastAsia"/>
          <w:color w:val="000000"/>
          <w:kern w:val="0"/>
          <w:sz w:val="28"/>
          <w:szCs w:val="28"/>
          <w:lang w:bidi="ar"/>
        </w:rPr>
        <w:t>，实现住宅开发功能；公共管理与公共服务用地0.9323公顷，占比0.78</w:t>
      </w:r>
      <w:r>
        <w:rPr>
          <w:rFonts w:ascii="仿宋_GB2312" w:eastAsia="仿宋_GB2312" w:hAnsi="宋体" w:cs="仿宋_GB2312"/>
          <w:color w:val="000000"/>
          <w:kern w:val="0"/>
          <w:sz w:val="28"/>
          <w:szCs w:val="28"/>
          <w:lang w:bidi="ar"/>
        </w:rPr>
        <w:t>%</w:t>
      </w:r>
      <w:r>
        <w:rPr>
          <w:rFonts w:ascii="仿宋_GB2312" w:eastAsia="仿宋_GB2312" w:hAnsi="宋体" w:cs="仿宋_GB2312" w:hint="eastAsia"/>
          <w:color w:val="000000"/>
          <w:kern w:val="0"/>
          <w:sz w:val="28"/>
          <w:szCs w:val="28"/>
          <w:lang w:bidi="ar"/>
        </w:rPr>
        <w:t>，完善公共设施、配套公共服务功能；商业服务业设施用地0.9135公顷，占比0.76%，实现配套商业设施功能；交通运输用地43.6357公顷，占比36.34</w:t>
      </w:r>
      <w:r>
        <w:rPr>
          <w:rFonts w:ascii="仿宋_GB2312" w:eastAsia="仿宋_GB2312" w:hAnsi="宋体" w:cs="仿宋_GB2312"/>
          <w:color w:val="000000"/>
          <w:kern w:val="0"/>
          <w:sz w:val="28"/>
          <w:szCs w:val="28"/>
          <w:lang w:bidi="ar"/>
        </w:rPr>
        <w:t>%</w:t>
      </w:r>
      <w:r>
        <w:rPr>
          <w:rFonts w:ascii="仿宋_GB2312" w:eastAsia="仿宋_GB2312" w:hAnsi="宋体" w:cs="仿宋_GB2312" w:hint="eastAsia"/>
          <w:color w:val="000000"/>
          <w:kern w:val="0"/>
          <w:sz w:val="28"/>
          <w:szCs w:val="28"/>
          <w:lang w:bidi="ar"/>
        </w:rPr>
        <w:t>，实现完善城市道路设施及配套设施建设功能；公用设施用地1.6205公顷，占比1.35</w:t>
      </w:r>
      <w:r>
        <w:rPr>
          <w:rFonts w:ascii="仿宋_GB2312" w:eastAsia="仿宋_GB2312" w:hAnsi="宋体" w:cs="仿宋_GB2312"/>
          <w:color w:val="000000"/>
          <w:kern w:val="0"/>
          <w:sz w:val="28"/>
          <w:szCs w:val="28"/>
          <w:lang w:bidi="ar"/>
        </w:rPr>
        <w:t>%</w:t>
      </w:r>
      <w:r>
        <w:rPr>
          <w:rFonts w:ascii="仿宋_GB2312" w:eastAsia="仿宋_GB2312" w:hAnsi="宋体" w:cs="仿宋_GB2312" w:hint="eastAsia"/>
          <w:color w:val="000000"/>
          <w:kern w:val="0"/>
          <w:sz w:val="28"/>
          <w:szCs w:val="28"/>
          <w:lang w:bidi="ar"/>
        </w:rPr>
        <w:t>，实现完善城市服务功能；绿地与开敞空间用地14.7155公顷，占比 12.26</w:t>
      </w:r>
      <w:r>
        <w:rPr>
          <w:rFonts w:ascii="仿宋_GB2312" w:eastAsia="仿宋_GB2312" w:hAnsi="宋体" w:cs="仿宋_GB2312"/>
          <w:color w:val="000000"/>
          <w:kern w:val="0"/>
          <w:sz w:val="28"/>
          <w:szCs w:val="28"/>
          <w:lang w:bidi="ar"/>
        </w:rPr>
        <w:t>%</w:t>
      </w:r>
      <w:r>
        <w:rPr>
          <w:rFonts w:ascii="仿宋_GB2312" w:eastAsia="仿宋_GB2312" w:hAnsi="宋体" w:cs="仿宋_GB2312" w:hint="eastAsia"/>
          <w:color w:val="000000"/>
          <w:kern w:val="0"/>
          <w:sz w:val="28"/>
          <w:szCs w:val="28"/>
          <w:lang w:bidi="ar"/>
        </w:rPr>
        <w:t>，实现建设居民公共空间功能；陆地水域1.1700公顷，占比0.97%，完善城市排水功能；工矿用地43.2020公顷，占比35.98%，促进</w:t>
      </w:r>
      <w:proofErr w:type="gramStart"/>
      <w:r>
        <w:rPr>
          <w:rFonts w:ascii="仿宋_GB2312" w:eastAsia="仿宋_GB2312" w:hAnsi="宋体" w:cs="仿宋_GB2312" w:hint="eastAsia"/>
          <w:color w:val="000000"/>
          <w:kern w:val="0"/>
          <w:sz w:val="28"/>
          <w:szCs w:val="28"/>
          <w:lang w:bidi="ar"/>
        </w:rPr>
        <w:t>产城融合</w:t>
      </w:r>
      <w:proofErr w:type="gramEnd"/>
      <w:r>
        <w:rPr>
          <w:rFonts w:ascii="仿宋_GB2312" w:eastAsia="仿宋_GB2312" w:hAnsi="宋体" w:cs="仿宋_GB2312" w:hint="eastAsia"/>
          <w:color w:val="000000"/>
          <w:kern w:val="0"/>
          <w:sz w:val="28"/>
          <w:szCs w:val="28"/>
          <w:lang w:bidi="ar"/>
        </w:rPr>
        <w:t>。</w:t>
      </w:r>
    </w:p>
    <w:p w14:paraId="21576CC4" w14:textId="77777777" w:rsidR="006205B0" w:rsidRDefault="009D7EE8">
      <w:pPr>
        <w:pStyle w:val="1"/>
        <w:spacing w:line="240" w:lineRule="auto"/>
        <w:ind w:left="0" w:firstLineChars="200" w:firstLine="640"/>
        <w:rPr>
          <w:rFonts w:ascii="黑体" w:eastAsia="黑体" w:hAnsi="黑体"/>
          <w:b w:val="0"/>
          <w:bCs w:val="0"/>
          <w:sz w:val="32"/>
          <w:szCs w:val="32"/>
        </w:rPr>
      </w:pPr>
      <w:bookmarkStart w:id="4" w:name="_Toc69736462"/>
      <w:r>
        <w:rPr>
          <w:rFonts w:ascii="黑体" w:eastAsia="黑体" w:hAnsi="黑体" w:hint="eastAsia"/>
          <w:b w:val="0"/>
          <w:bCs w:val="0"/>
          <w:sz w:val="32"/>
          <w:szCs w:val="32"/>
        </w:rPr>
        <w:t>六、成片开发计划</w:t>
      </w:r>
      <w:bookmarkEnd w:id="4"/>
    </w:p>
    <w:p w14:paraId="31F45353" w14:textId="77777777" w:rsidR="006205B0" w:rsidRDefault="009D7EE8">
      <w:pPr>
        <w:ind w:firstLine="640"/>
        <w:rPr>
          <w:rFonts w:ascii="仿宋_GB2312" w:eastAsia="仿宋_GB2312" w:hAnsi="仿宋_GB2312" w:cs="仿宋_GB2312"/>
          <w:sz w:val="28"/>
          <w:szCs w:val="28"/>
        </w:rPr>
      </w:pPr>
      <w:r>
        <w:rPr>
          <w:rFonts w:ascii="仿宋_GB2312" w:eastAsia="仿宋_GB2312" w:hAnsi="仿宋_GB2312" w:cs="仿宋_GB2312" w:hint="eastAsia"/>
          <w:sz w:val="28"/>
          <w:szCs w:val="28"/>
        </w:rPr>
        <w:t>成片开发方案</w:t>
      </w:r>
      <w:r>
        <w:rPr>
          <w:rFonts w:ascii="仿宋_GB2312" w:eastAsia="仿宋_GB2312" w:hAnsi="仿宋_GB2312" w:cs="仿宋_GB2312"/>
          <w:sz w:val="28"/>
          <w:szCs w:val="28"/>
        </w:rPr>
        <w:t>实施期限为</w:t>
      </w:r>
      <w:r>
        <w:rPr>
          <w:rFonts w:ascii="仿宋_GB2312" w:eastAsia="仿宋_GB2312" w:hAnsi="仿宋_GB2312" w:cs="仿宋_GB2312" w:hint="eastAsia"/>
          <w:sz w:val="28"/>
          <w:szCs w:val="28"/>
        </w:rPr>
        <w:t>2024年、2025年、2026年三年</w:t>
      </w:r>
      <w:r>
        <w:rPr>
          <w:rFonts w:ascii="仿宋_GB2312" w:eastAsia="仿宋_GB2312" w:hAnsi="仿宋_GB2312" w:cs="仿宋_GB2312"/>
          <w:sz w:val="28"/>
          <w:szCs w:val="28"/>
        </w:rPr>
        <w:t>，</w:t>
      </w:r>
      <w:r>
        <w:rPr>
          <w:rFonts w:ascii="仿宋_GB2312" w:eastAsia="仿宋_GB2312" w:hAnsi="仿宋_GB2312" w:cs="仿宋_GB2312" w:hint="eastAsia"/>
          <w:sz w:val="28"/>
          <w:szCs w:val="28"/>
        </w:rPr>
        <w:t>项目建设规模可行、内容有保障，采取的节约集约用地措施可行，</w:t>
      </w:r>
      <w:r>
        <w:rPr>
          <w:rFonts w:ascii="仿宋_GB2312" w:eastAsia="仿宋_GB2312" w:hAnsi="仿宋_GB2312" w:cs="仿宋_GB2312"/>
          <w:sz w:val="28"/>
          <w:szCs w:val="28"/>
        </w:rPr>
        <w:t>成片开发计划具备可行性。</w:t>
      </w:r>
    </w:p>
    <w:p w14:paraId="052D72DE" w14:textId="77777777" w:rsidR="006205B0" w:rsidRDefault="009D7EE8">
      <w:pPr>
        <w:pStyle w:val="1"/>
        <w:spacing w:line="240" w:lineRule="auto"/>
        <w:ind w:left="0" w:firstLineChars="200" w:firstLine="640"/>
        <w:rPr>
          <w:rFonts w:ascii="黑体" w:eastAsia="黑体" w:hAnsi="黑体"/>
          <w:b w:val="0"/>
          <w:bCs w:val="0"/>
          <w:sz w:val="32"/>
          <w:szCs w:val="32"/>
        </w:rPr>
      </w:pPr>
      <w:bookmarkStart w:id="5" w:name="_Toc69736470"/>
      <w:r>
        <w:rPr>
          <w:rFonts w:ascii="黑体" w:eastAsia="黑体" w:hAnsi="黑体" w:hint="eastAsia"/>
          <w:b w:val="0"/>
          <w:bCs w:val="0"/>
          <w:sz w:val="32"/>
          <w:szCs w:val="32"/>
        </w:rPr>
        <w:t>七、公益性用地情况</w:t>
      </w:r>
      <w:bookmarkEnd w:id="5"/>
    </w:p>
    <w:p w14:paraId="3B9C6EB6" w14:textId="77777777" w:rsidR="006205B0" w:rsidRDefault="009D7EE8">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片区</w:t>
      </w:r>
      <w:proofErr w:type="gramStart"/>
      <w:r>
        <w:rPr>
          <w:rFonts w:ascii="仿宋_GB2312" w:eastAsia="仿宋_GB2312" w:hAnsi="仿宋_GB2312" w:cs="仿宋_GB2312" w:hint="eastAsia"/>
          <w:sz w:val="28"/>
          <w:szCs w:val="28"/>
        </w:rPr>
        <w:t>一</w:t>
      </w:r>
      <w:proofErr w:type="gramEnd"/>
      <w:r>
        <w:rPr>
          <w:rFonts w:ascii="仿宋_GB2312" w:eastAsia="仿宋_GB2312" w:hAnsi="仿宋_GB2312" w:cs="仿宋_GB2312" w:hint="eastAsia"/>
          <w:sz w:val="28"/>
          <w:szCs w:val="28"/>
        </w:rPr>
        <w:t>：涉及公益性用地包括交通运输用地、绿地与开敞空间用地、公用设施用地，合计32.7601公顷，占用地总面积的66.94％。</w:t>
      </w:r>
    </w:p>
    <w:p w14:paraId="7B502191" w14:textId="77777777" w:rsidR="006205B0" w:rsidRDefault="009D7EE8">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片区二：涉及公益性用地包括交通运输用地、绿地与开敞空间用</w:t>
      </w:r>
      <w:r>
        <w:rPr>
          <w:rFonts w:ascii="仿宋_GB2312" w:eastAsia="仿宋_GB2312" w:hAnsi="仿宋_GB2312" w:cs="仿宋_GB2312" w:hint="eastAsia"/>
          <w:sz w:val="28"/>
          <w:szCs w:val="28"/>
        </w:rPr>
        <w:lastRenderedPageBreak/>
        <w:t>地，合计14.9921 公顷，占用地总面积的40.10％。</w:t>
      </w:r>
    </w:p>
    <w:p w14:paraId="4C24B5A1" w14:textId="77777777" w:rsidR="006205B0" w:rsidRDefault="009D7EE8">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片区三：涉及公益性用地包括交通运输用地、绿地与开敞空间用地，合计3.0730 公顷，占用地总面积的40.24％。</w:t>
      </w:r>
    </w:p>
    <w:p w14:paraId="3758C85E" w14:textId="77777777" w:rsidR="006205B0" w:rsidRDefault="009D7EE8">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片区四：涉及公益性用地包括绿地与开敞空间用地与公共管理与公共服务用地，合计1.7702公顷，占用地总面积的64.44%。</w:t>
      </w:r>
    </w:p>
    <w:p w14:paraId="640B80AF" w14:textId="77777777" w:rsidR="006205B0" w:rsidRDefault="009D7EE8">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片区五：涉及公益性用地包括交通运输用地、绿地与开敞空间用地及水域，合计9.4786公顷，占用地总面积的40.57%。</w:t>
      </w:r>
    </w:p>
    <w:p w14:paraId="28549ECE" w14:textId="77777777" w:rsidR="006205B0" w:rsidRDefault="009D7EE8">
      <w:pPr>
        <w:spacing w:line="360" w:lineRule="auto"/>
        <w:ind w:firstLineChars="200" w:firstLine="560"/>
        <w:rPr>
          <w:rFonts w:ascii="仿宋_GB2312" w:eastAsia="仿宋_GB2312" w:cs="仿宋_GB2312"/>
          <w:kern w:val="0"/>
          <w:sz w:val="28"/>
          <w:szCs w:val="28"/>
        </w:rPr>
      </w:pPr>
      <w:r>
        <w:rPr>
          <w:rFonts w:ascii="仿宋_GB2312" w:eastAsia="仿宋_GB2312" w:hAnsi="仿宋_GB2312" w:cs="仿宋_GB2312" w:hint="eastAsia"/>
          <w:sz w:val="28"/>
          <w:szCs w:val="28"/>
        </w:rPr>
        <w:t>符合</w:t>
      </w:r>
      <w:r>
        <w:rPr>
          <w:rFonts w:ascii="仿宋_GB2312" w:eastAsia="仿宋_GB2312" w:hAnsi="仿宋_GB2312" w:cs="仿宋_GB2312"/>
          <w:color w:val="000000"/>
          <w:sz w:val="28"/>
          <w:szCs w:val="28"/>
        </w:rPr>
        <w:t>《江西省人民政府办公厅关于执行土地征收成片开发标准（试行）的指导意见》（赣府厅发〔</w:t>
      </w:r>
      <w:r>
        <w:rPr>
          <w:rFonts w:ascii="TimesNewRomanPSMT" w:eastAsia="TimesNewRomanPSMT" w:hAnsi="TimesNewRomanPSMT" w:cs="TimesNewRomanPSMT"/>
          <w:color w:val="000000"/>
          <w:sz w:val="28"/>
          <w:szCs w:val="28"/>
        </w:rPr>
        <w:t>2021</w:t>
      </w:r>
      <w:r>
        <w:rPr>
          <w:rFonts w:ascii="仿宋_GB2312" w:eastAsia="仿宋_GB2312" w:hAnsi="仿宋_GB2312" w:cs="仿宋_GB2312"/>
          <w:color w:val="000000"/>
          <w:sz w:val="28"/>
          <w:szCs w:val="28"/>
        </w:rPr>
        <w:t>〕</w:t>
      </w:r>
      <w:r>
        <w:rPr>
          <w:rFonts w:ascii="TimesNewRomanPSMT" w:eastAsia="TimesNewRomanPSMT" w:hAnsi="TimesNewRomanPSMT" w:cs="TimesNewRomanPSMT"/>
          <w:color w:val="000000"/>
          <w:sz w:val="28"/>
          <w:szCs w:val="28"/>
        </w:rPr>
        <w:t xml:space="preserve">2 </w:t>
      </w:r>
      <w:r>
        <w:rPr>
          <w:rFonts w:ascii="仿宋_GB2312" w:eastAsia="仿宋_GB2312" w:hAnsi="仿宋_GB2312" w:cs="仿宋_GB2312"/>
          <w:color w:val="000000"/>
          <w:sz w:val="28"/>
          <w:szCs w:val="28"/>
        </w:rPr>
        <w:t>号）文件不少于</w:t>
      </w:r>
      <w:r>
        <w:rPr>
          <w:rFonts w:ascii="TimesNewRomanPSMT" w:eastAsia="TimesNewRomanPSMT" w:hAnsi="TimesNewRomanPSMT" w:cs="TimesNewRomanPSMT"/>
          <w:color w:val="000000"/>
          <w:sz w:val="28"/>
          <w:szCs w:val="28"/>
        </w:rPr>
        <w:t>40%</w:t>
      </w:r>
      <w:r>
        <w:rPr>
          <w:rFonts w:ascii="仿宋_GB2312" w:eastAsia="仿宋_GB2312" w:hAnsi="仿宋_GB2312" w:cs="仿宋_GB2312"/>
          <w:color w:val="000000"/>
          <w:sz w:val="28"/>
          <w:szCs w:val="28"/>
        </w:rPr>
        <w:t>公益性比例</w:t>
      </w:r>
      <w:r>
        <w:rPr>
          <w:rFonts w:ascii="仿宋_GB2312" w:eastAsia="仿宋_GB2312" w:cs="仿宋_GB2312" w:hint="eastAsia"/>
          <w:kern w:val="0"/>
          <w:sz w:val="28"/>
          <w:szCs w:val="28"/>
        </w:rPr>
        <w:t>规定。</w:t>
      </w:r>
    </w:p>
    <w:p w14:paraId="515D0785" w14:textId="77777777" w:rsidR="006205B0" w:rsidRDefault="009D7EE8">
      <w:pPr>
        <w:pStyle w:val="1"/>
        <w:spacing w:line="240" w:lineRule="auto"/>
        <w:ind w:left="0" w:firstLineChars="200" w:firstLine="640"/>
        <w:rPr>
          <w:rFonts w:ascii="黑体" w:eastAsia="黑体" w:hAnsi="黑体"/>
          <w:b w:val="0"/>
          <w:bCs w:val="0"/>
          <w:sz w:val="32"/>
          <w:szCs w:val="32"/>
        </w:rPr>
      </w:pPr>
      <w:r>
        <w:rPr>
          <w:rFonts w:ascii="黑体" w:eastAsia="黑体" w:hAnsi="黑体" w:hint="eastAsia"/>
          <w:b w:val="0"/>
          <w:bCs w:val="0"/>
          <w:sz w:val="32"/>
          <w:szCs w:val="32"/>
        </w:rPr>
        <w:t xml:space="preserve">八、征地农民利益保障 </w:t>
      </w:r>
    </w:p>
    <w:p w14:paraId="78F66C7A" w14:textId="77777777" w:rsidR="006205B0" w:rsidRDefault="009D7EE8">
      <w:pPr>
        <w:spacing w:line="360" w:lineRule="auto"/>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color w:val="000000"/>
          <w:sz w:val="28"/>
          <w:szCs w:val="28"/>
        </w:rPr>
        <w:t>成片开发地块涉及的土地征收工作，</w:t>
      </w:r>
      <w:r>
        <w:rPr>
          <w:rFonts w:ascii="仿宋_GB2312" w:eastAsia="仿宋_GB2312" w:hAnsi="仿宋_GB2312" w:cs="仿宋_GB2312" w:hint="eastAsia"/>
          <w:color w:val="000000"/>
          <w:sz w:val="28"/>
          <w:szCs w:val="28"/>
        </w:rPr>
        <w:t>南昌经济技术开发区</w:t>
      </w:r>
      <w:r>
        <w:rPr>
          <w:rFonts w:ascii="仿宋_GB2312" w:eastAsia="仿宋_GB2312" w:hAnsi="仿宋_GB2312" w:cs="仿宋_GB2312"/>
          <w:color w:val="000000"/>
          <w:sz w:val="28"/>
          <w:szCs w:val="28"/>
        </w:rPr>
        <w:t>将严格按照规定程序进行,征地补偿标准、失地农民</w:t>
      </w:r>
      <w:proofErr w:type="gramStart"/>
      <w:r>
        <w:rPr>
          <w:rFonts w:ascii="仿宋_GB2312" w:eastAsia="仿宋_GB2312" w:hAnsi="仿宋_GB2312" w:cs="仿宋_GB2312"/>
          <w:color w:val="000000"/>
          <w:sz w:val="28"/>
          <w:szCs w:val="28"/>
        </w:rPr>
        <w:t>安置按</w:t>
      </w:r>
      <w:proofErr w:type="gramEnd"/>
      <w:r>
        <w:rPr>
          <w:rFonts w:ascii="仿宋_GB2312" w:eastAsia="仿宋_GB2312" w:hAnsi="仿宋_GB2312" w:cs="仿宋_GB2312"/>
          <w:color w:val="000000"/>
          <w:sz w:val="28"/>
          <w:szCs w:val="28"/>
        </w:rPr>
        <w:t>《江西省人民政府关于公布全省征地区片综合地价的通知》（赣府字〔2023〕23 号）、《江西省人民政府办公厅转发省人社厅等部门关于进一步完善被征地农民美老保险政策意见的通知》(</w:t>
      </w:r>
      <w:r>
        <w:rPr>
          <w:rFonts w:ascii="仿宋_GB2312" w:eastAsia="仿宋_GB2312" w:hAnsi="仿宋_GB2312" w:cs="仿宋_GB2312" w:hint="eastAsia"/>
          <w:color w:val="000000"/>
          <w:sz w:val="28"/>
          <w:szCs w:val="28"/>
        </w:rPr>
        <w:t>赣</w:t>
      </w:r>
      <w:r>
        <w:rPr>
          <w:rFonts w:ascii="仿宋_GB2312" w:eastAsia="仿宋_GB2312" w:hAnsi="仿宋_GB2312" w:cs="仿宋_GB2312"/>
          <w:color w:val="000000"/>
          <w:sz w:val="28"/>
          <w:szCs w:val="28"/>
        </w:rPr>
        <w:t>府厅发〔2014〕12号)</w:t>
      </w:r>
      <w:r>
        <w:rPr>
          <w:rFonts w:ascii="仿宋_GB2312" w:eastAsia="仿宋_GB2312" w:hAnsi="仿宋_GB2312" w:cs="仿宋_GB2312" w:hint="eastAsia"/>
          <w:color w:val="000000"/>
          <w:sz w:val="28"/>
          <w:szCs w:val="28"/>
        </w:rPr>
        <w:t>、</w:t>
      </w:r>
      <w:r>
        <w:rPr>
          <w:rFonts w:ascii="仿宋_GB2312" w:eastAsia="仿宋_GB2312" w:hAnsi="仿宋_GB2312" w:cs="仿宋_GB2312"/>
          <w:color w:val="000000"/>
          <w:sz w:val="28"/>
          <w:szCs w:val="28"/>
        </w:rPr>
        <w:t>《南昌市人民政府办公室关于按新标准预存被征地农民参加基本养老保险缴费补贴资金的通知》（洪府办字〔2023〕552号）等文件规定的标准执行。</w:t>
      </w:r>
    </w:p>
    <w:p w14:paraId="20AC8B7E" w14:textId="77777777" w:rsidR="006205B0" w:rsidRDefault="009D7EE8">
      <w:pPr>
        <w:pStyle w:val="1"/>
        <w:spacing w:line="240" w:lineRule="auto"/>
        <w:ind w:left="0" w:firstLineChars="200" w:firstLine="640"/>
        <w:rPr>
          <w:rFonts w:ascii="黑体" w:eastAsia="黑体" w:hAnsi="黑体"/>
          <w:b w:val="0"/>
          <w:bCs w:val="0"/>
          <w:sz w:val="32"/>
          <w:szCs w:val="32"/>
        </w:rPr>
      </w:pPr>
      <w:r>
        <w:rPr>
          <w:rFonts w:ascii="黑体" w:eastAsia="黑体" w:hAnsi="黑体" w:hint="eastAsia"/>
          <w:b w:val="0"/>
          <w:bCs w:val="0"/>
          <w:sz w:val="32"/>
          <w:szCs w:val="32"/>
        </w:rPr>
        <w:lastRenderedPageBreak/>
        <w:t xml:space="preserve">九、结论 </w:t>
      </w:r>
    </w:p>
    <w:p w14:paraId="16702E54" w14:textId="77777777" w:rsidR="006205B0" w:rsidRDefault="009D7EE8">
      <w:pPr>
        <w:widowControl/>
        <w:ind w:firstLineChars="200" w:firstLine="560"/>
        <w:jc w:val="left"/>
      </w:pPr>
      <w:r>
        <w:rPr>
          <w:rFonts w:ascii="仿宋_GB2312" w:eastAsia="仿宋_GB2312" w:hAnsi="仿宋_GB2312" w:cs="仿宋_GB2312"/>
          <w:color w:val="000000"/>
          <w:kern w:val="0"/>
          <w:sz w:val="28"/>
          <w:szCs w:val="28"/>
          <w:lang w:bidi="ar"/>
        </w:rPr>
        <w:t>《</w:t>
      </w:r>
      <w:r>
        <w:rPr>
          <w:rFonts w:ascii="仿宋_GB2312" w:eastAsia="仿宋_GB2312" w:hAnsi="仿宋_GB2312" w:cs="仿宋_GB2312" w:hint="eastAsia"/>
          <w:color w:val="000000"/>
          <w:kern w:val="0"/>
          <w:sz w:val="28"/>
          <w:szCs w:val="28"/>
          <w:lang w:bidi="ar"/>
        </w:rPr>
        <w:t>南昌经济技术开发区土地征收成片开发方案（2024-2026年）</w:t>
      </w:r>
      <w:r>
        <w:rPr>
          <w:rFonts w:ascii="仿宋_GB2312" w:eastAsia="仿宋_GB2312" w:hAnsi="仿宋_GB2312" w:cs="仿宋_GB2312"/>
          <w:color w:val="000000"/>
          <w:kern w:val="0"/>
          <w:sz w:val="28"/>
          <w:szCs w:val="28"/>
          <w:lang w:bidi="ar"/>
        </w:rPr>
        <w:t>》符合自然资源部及江西省自然资源厅关于土地征收“成片开发” 的标准。</w:t>
      </w:r>
    </w:p>
    <w:p w14:paraId="68ADFFEA" w14:textId="77777777" w:rsidR="006205B0" w:rsidRDefault="006205B0">
      <w:pPr>
        <w:rPr>
          <w:rFonts w:ascii="仿宋_GB2312" w:eastAsia="仿宋_GB2312" w:hAnsi="仿宋_GB2312" w:cs="仿宋_GB2312"/>
          <w:kern w:val="0"/>
          <w:sz w:val="28"/>
          <w:szCs w:val="28"/>
        </w:rPr>
        <w:sectPr w:rsidR="006205B0">
          <w:footerReference w:type="default" r:id="rId9"/>
          <w:pgSz w:w="11906" w:h="16838"/>
          <w:pgMar w:top="1440" w:right="1800" w:bottom="1440" w:left="1800" w:header="851" w:footer="992" w:gutter="0"/>
          <w:pgNumType w:start="1"/>
          <w:cols w:space="425"/>
          <w:docGrid w:type="lines" w:linePitch="312"/>
        </w:sectPr>
      </w:pPr>
    </w:p>
    <w:p w14:paraId="763FA512" w14:textId="77777777" w:rsidR="006205B0" w:rsidRDefault="009D7EE8">
      <w:pPr>
        <w:pStyle w:val="1"/>
        <w:spacing w:line="240" w:lineRule="auto"/>
        <w:ind w:left="0"/>
        <w:rPr>
          <w:rFonts w:ascii="黑体" w:eastAsia="黑体" w:hAnsi="黑体"/>
          <w:b w:val="0"/>
          <w:bCs w:val="0"/>
          <w:sz w:val="32"/>
          <w:szCs w:val="32"/>
        </w:rPr>
      </w:pPr>
      <w:bookmarkStart w:id="6" w:name="_Toc69736491"/>
      <w:r>
        <w:rPr>
          <w:rFonts w:ascii="黑体" w:eastAsia="黑体" w:hAnsi="黑体" w:hint="eastAsia"/>
          <w:b w:val="0"/>
          <w:bCs w:val="0"/>
          <w:sz w:val="32"/>
          <w:szCs w:val="32"/>
        </w:rPr>
        <w:lastRenderedPageBreak/>
        <w:t>附图</w:t>
      </w:r>
      <w:bookmarkEnd w:id="6"/>
    </w:p>
    <w:p w14:paraId="02ACA76B" w14:textId="77777777" w:rsidR="006205B0" w:rsidRDefault="009D7EE8">
      <w:pPr>
        <w:pStyle w:val="1"/>
        <w:spacing w:line="240" w:lineRule="auto"/>
        <w:ind w:left="0"/>
        <w:jc w:val="center"/>
        <w:rPr>
          <w:rFonts w:ascii="仿宋_GB2312" w:eastAsia="仿宋_GB2312" w:hAnsi="仿宋_GB2312" w:cs="仿宋_GB2312"/>
          <w:kern w:val="0"/>
          <w:sz w:val="28"/>
          <w:szCs w:val="28"/>
        </w:rPr>
      </w:pPr>
      <w:r>
        <w:rPr>
          <w:rFonts w:ascii="黑体" w:eastAsia="黑体" w:hAnsi="黑体" w:hint="eastAsia"/>
          <w:b w:val="0"/>
          <w:bCs w:val="0"/>
          <w:noProof/>
          <w:sz w:val="32"/>
          <w:szCs w:val="32"/>
        </w:rPr>
        <w:drawing>
          <wp:inline distT="0" distB="0" distL="114300" distR="114300" wp14:anchorId="42AE4F40" wp14:editId="34232032">
            <wp:extent cx="6547485" cy="4627880"/>
            <wp:effectExtent l="0" t="0" r="5715" b="7620"/>
            <wp:docPr id="3" name="图片 3" descr="位置示意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位置示意图1"/>
                    <pic:cNvPicPr>
                      <a:picLocks noChangeAspect="1"/>
                    </pic:cNvPicPr>
                  </pic:nvPicPr>
                  <pic:blipFill>
                    <a:blip r:embed="rId10"/>
                    <a:stretch>
                      <a:fillRect/>
                    </a:stretch>
                  </pic:blipFill>
                  <pic:spPr>
                    <a:xfrm>
                      <a:off x="0" y="0"/>
                      <a:ext cx="6547485" cy="4627880"/>
                    </a:xfrm>
                    <a:prstGeom prst="rect">
                      <a:avLst/>
                    </a:prstGeom>
                  </pic:spPr>
                </pic:pic>
              </a:graphicData>
            </a:graphic>
          </wp:inline>
        </w:drawing>
      </w:r>
    </w:p>
    <w:p w14:paraId="349F5B5C" w14:textId="77777777" w:rsidR="006205B0" w:rsidRDefault="009D7EE8">
      <w:pPr>
        <w:jc w:val="center"/>
        <w:rPr>
          <w:rFonts w:ascii="仿宋_GB2312" w:eastAsia="仿宋_GB2312" w:hAnsi="仿宋_GB2312" w:cs="仿宋_GB2312"/>
          <w:kern w:val="0"/>
          <w:sz w:val="28"/>
          <w:szCs w:val="28"/>
        </w:rPr>
        <w:sectPr w:rsidR="006205B0">
          <w:pgSz w:w="16838" w:h="11906" w:orient="landscape"/>
          <w:pgMar w:top="1797" w:right="1440" w:bottom="1797" w:left="1440" w:header="851" w:footer="992" w:gutter="0"/>
          <w:cols w:space="425"/>
          <w:docGrid w:type="lines" w:linePitch="312"/>
        </w:sectPr>
      </w:pPr>
      <w:r>
        <w:rPr>
          <w:rFonts w:ascii="仿宋_GB2312" w:eastAsia="仿宋_GB2312" w:hAnsi="仿宋_GB2312" w:cs="仿宋_GB2312" w:hint="eastAsia"/>
          <w:noProof/>
          <w:kern w:val="0"/>
          <w:sz w:val="28"/>
          <w:szCs w:val="28"/>
        </w:rPr>
        <w:lastRenderedPageBreak/>
        <w:drawing>
          <wp:inline distT="0" distB="0" distL="114300" distR="114300" wp14:anchorId="4296DEC1" wp14:editId="30EC5B9F">
            <wp:extent cx="7465060" cy="5276215"/>
            <wp:effectExtent l="0" t="0" r="2540" b="6985"/>
            <wp:docPr id="2" name="图片 2" descr="位置示意图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位置示意图2"/>
                    <pic:cNvPicPr>
                      <a:picLocks noChangeAspect="1"/>
                    </pic:cNvPicPr>
                  </pic:nvPicPr>
                  <pic:blipFill>
                    <a:blip r:embed="rId11"/>
                    <a:stretch>
                      <a:fillRect/>
                    </a:stretch>
                  </pic:blipFill>
                  <pic:spPr>
                    <a:xfrm>
                      <a:off x="0" y="0"/>
                      <a:ext cx="7465060" cy="5276215"/>
                    </a:xfrm>
                    <a:prstGeom prst="rect">
                      <a:avLst/>
                    </a:prstGeom>
                  </pic:spPr>
                </pic:pic>
              </a:graphicData>
            </a:graphic>
          </wp:inline>
        </w:drawing>
      </w:r>
    </w:p>
    <w:p w14:paraId="6080A7B2" w14:textId="77777777" w:rsidR="006205B0" w:rsidRDefault="009D7EE8">
      <w:pPr>
        <w:jc w:val="center"/>
        <w:rPr>
          <w:rFonts w:ascii="仿宋_GB2312" w:eastAsia="仿宋_GB2312" w:hAnsi="仿宋_GB2312" w:cs="仿宋_GB2312"/>
          <w:kern w:val="0"/>
          <w:sz w:val="28"/>
          <w:szCs w:val="28"/>
        </w:rPr>
      </w:pPr>
      <w:r>
        <w:rPr>
          <w:rFonts w:ascii="仿宋_GB2312" w:eastAsia="仿宋_GB2312" w:hAnsi="仿宋_GB2312" w:cs="仿宋_GB2312" w:hint="eastAsia"/>
          <w:noProof/>
          <w:kern w:val="0"/>
          <w:sz w:val="28"/>
          <w:szCs w:val="28"/>
        </w:rPr>
        <w:lastRenderedPageBreak/>
        <w:drawing>
          <wp:inline distT="0" distB="0" distL="114300" distR="114300" wp14:anchorId="76839D81" wp14:editId="323E474A">
            <wp:extent cx="7465060" cy="5276215"/>
            <wp:effectExtent l="0" t="0" r="2540" b="6985"/>
            <wp:docPr id="4" name="图片 4" descr="位置示意图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位置示意图3"/>
                    <pic:cNvPicPr>
                      <a:picLocks noChangeAspect="1"/>
                    </pic:cNvPicPr>
                  </pic:nvPicPr>
                  <pic:blipFill>
                    <a:blip r:embed="rId12"/>
                    <a:stretch>
                      <a:fillRect/>
                    </a:stretch>
                  </pic:blipFill>
                  <pic:spPr>
                    <a:xfrm>
                      <a:off x="0" y="0"/>
                      <a:ext cx="7465060" cy="5276215"/>
                    </a:xfrm>
                    <a:prstGeom prst="rect">
                      <a:avLst/>
                    </a:prstGeom>
                  </pic:spPr>
                </pic:pic>
              </a:graphicData>
            </a:graphic>
          </wp:inline>
        </w:drawing>
      </w:r>
      <w:r>
        <w:rPr>
          <w:rFonts w:ascii="仿宋_GB2312" w:eastAsia="仿宋_GB2312" w:hAnsi="仿宋_GB2312" w:cs="仿宋_GB2312" w:hint="eastAsia"/>
          <w:noProof/>
          <w:kern w:val="0"/>
          <w:sz w:val="28"/>
          <w:szCs w:val="28"/>
        </w:rPr>
        <w:lastRenderedPageBreak/>
        <w:drawing>
          <wp:inline distT="0" distB="0" distL="114300" distR="114300" wp14:anchorId="1A41AB3E" wp14:editId="64531654">
            <wp:extent cx="7465060" cy="5276215"/>
            <wp:effectExtent l="0" t="0" r="2540" b="6985"/>
            <wp:docPr id="5" name="图片 5" descr="位置示意图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位置示意图4"/>
                    <pic:cNvPicPr>
                      <a:picLocks noChangeAspect="1"/>
                    </pic:cNvPicPr>
                  </pic:nvPicPr>
                  <pic:blipFill>
                    <a:blip r:embed="rId13"/>
                    <a:stretch>
                      <a:fillRect/>
                    </a:stretch>
                  </pic:blipFill>
                  <pic:spPr>
                    <a:xfrm>
                      <a:off x="0" y="0"/>
                      <a:ext cx="7465060" cy="5276215"/>
                    </a:xfrm>
                    <a:prstGeom prst="rect">
                      <a:avLst/>
                    </a:prstGeom>
                  </pic:spPr>
                </pic:pic>
              </a:graphicData>
            </a:graphic>
          </wp:inline>
        </w:drawing>
      </w:r>
      <w:r>
        <w:rPr>
          <w:rFonts w:ascii="仿宋_GB2312" w:eastAsia="仿宋_GB2312" w:hAnsi="仿宋_GB2312" w:cs="仿宋_GB2312" w:hint="eastAsia"/>
          <w:noProof/>
          <w:kern w:val="0"/>
          <w:sz w:val="28"/>
          <w:szCs w:val="28"/>
        </w:rPr>
        <w:lastRenderedPageBreak/>
        <w:drawing>
          <wp:inline distT="0" distB="0" distL="114300" distR="114300" wp14:anchorId="628C862E" wp14:editId="4404819B">
            <wp:extent cx="7465060" cy="5276215"/>
            <wp:effectExtent l="0" t="0" r="2540" b="6985"/>
            <wp:docPr id="6" name="图片 6" descr="位置示意图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位置示意图5"/>
                    <pic:cNvPicPr>
                      <a:picLocks noChangeAspect="1"/>
                    </pic:cNvPicPr>
                  </pic:nvPicPr>
                  <pic:blipFill>
                    <a:blip r:embed="rId14"/>
                    <a:stretch>
                      <a:fillRect/>
                    </a:stretch>
                  </pic:blipFill>
                  <pic:spPr>
                    <a:xfrm>
                      <a:off x="0" y="0"/>
                      <a:ext cx="7465060" cy="5276215"/>
                    </a:xfrm>
                    <a:prstGeom prst="rect">
                      <a:avLst/>
                    </a:prstGeom>
                  </pic:spPr>
                </pic:pic>
              </a:graphicData>
            </a:graphic>
          </wp:inline>
        </w:drawing>
      </w:r>
    </w:p>
    <w:sectPr w:rsidR="006205B0">
      <w:pgSz w:w="16838" w:h="11906" w:orient="landscape"/>
      <w:pgMar w:top="1797" w:right="1440" w:bottom="1797"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5C60C5" w14:textId="77777777" w:rsidR="00EC7346" w:rsidRDefault="00EC7346">
      <w:r>
        <w:separator/>
      </w:r>
    </w:p>
  </w:endnote>
  <w:endnote w:type="continuationSeparator" w:id="0">
    <w:p w14:paraId="22D1EF2F" w14:textId="77777777" w:rsidR="00EC7346" w:rsidRDefault="00EC73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imesNewRomanPSMT">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0252574"/>
    </w:sdtPr>
    <w:sdtEndPr/>
    <w:sdtContent>
      <w:p w14:paraId="4FF6FF6C" w14:textId="77777777" w:rsidR="006205B0" w:rsidRDefault="009D7EE8">
        <w:pPr>
          <w:pStyle w:val="a7"/>
          <w:jc w:val="center"/>
        </w:pPr>
        <w:r>
          <w:fldChar w:fldCharType="begin"/>
        </w:r>
        <w:r>
          <w:instrText>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C7033F" w14:textId="77777777" w:rsidR="00EC7346" w:rsidRDefault="00EC7346">
      <w:r>
        <w:separator/>
      </w:r>
    </w:p>
  </w:footnote>
  <w:footnote w:type="continuationSeparator" w:id="0">
    <w:p w14:paraId="26A1FAA9" w14:textId="77777777" w:rsidR="00EC7346" w:rsidRDefault="00EC73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MGJjMjFjMTRkYjExMjZmZWU0YmNjNGFhMmI2YTJhYWIifQ=="/>
  </w:docVars>
  <w:rsids>
    <w:rsidRoot w:val="00AA7863"/>
    <w:rsid w:val="00002990"/>
    <w:rsid w:val="00006A39"/>
    <w:rsid w:val="000153E5"/>
    <w:rsid w:val="00021358"/>
    <w:rsid w:val="0002636E"/>
    <w:rsid w:val="00034D98"/>
    <w:rsid w:val="00035302"/>
    <w:rsid w:val="00044CF4"/>
    <w:rsid w:val="0004620D"/>
    <w:rsid w:val="0004666E"/>
    <w:rsid w:val="00050931"/>
    <w:rsid w:val="00055F67"/>
    <w:rsid w:val="00060E47"/>
    <w:rsid w:val="00064FD9"/>
    <w:rsid w:val="00071B2D"/>
    <w:rsid w:val="000721EE"/>
    <w:rsid w:val="00075EBC"/>
    <w:rsid w:val="000812B6"/>
    <w:rsid w:val="00081EE2"/>
    <w:rsid w:val="00084F32"/>
    <w:rsid w:val="0008792B"/>
    <w:rsid w:val="00095539"/>
    <w:rsid w:val="00095B8B"/>
    <w:rsid w:val="000A1077"/>
    <w:rsid w:val="000A1658"/>
    <w:rsid w:val="000A60A2"/>
    <w:rsid w:val="000B193E"/>
    <w:rsid w:val="000B5AC7"/>
    <w:rsid w:val="000C2D3F"/>
    <w:rsid w:val="000C761A"/>
    <w:rsid w:val="000C7AC1"/>
    <w:rsid w:val="000D2683"/>
    <w:rsid w:val="000D53B3"/>
    <w:rsid w:val="000E43F0"/>
    <w:rsid w:val="00100D8D"/>
    <w:rsid w:val="00100EE0"/>
    <w:rsid w:val="00101DB0"/>
    <w:rsid w:val="00102897"/>
    <w:rsid w:val="001062CD"/>
    <w:rsid w:val="0010659D"/>
    <w:rsid w:val="00112F50"/>
    <w:rsid w:val="00116210"/>
    <w:rsid w:val="001331DA"/>
    <w:rsid w:val="00141D48"/>
    <w:rsid w:val="00142DF3"/>
    <w:rsid w:val="00150D9A"/>
    <w:rsid w:val="00152203"/>
    <w:rsid w:val="00153287"/>
    <w:rsid w:val="00154139"/>
    <w:rsid w:val="0016462A"/>
    <w:rsid w:val="00172115"/>
    <w:rsid w:val="001746AF"/>
    <w:rsid w:val="001777DC"/>
    <w:rsid w:val="0018342C"/>
    <w:rsid w:val="001936E2"/>
    <w:rsid w:val="00196223"/>
    <w:rsid w:val="00197248"/>
    <w:rsid w:val="001A0411"/>
    <w:rsid w:val="001A13B0"/>
    <w:rsid w:val="001A57E9"/>
    <w:rsid w:val="001A7845"/>
    <w:rsid w:val="001B0804"/>
    <w:rsid w:val="001B43BB"/>
    <w:rsid w:val="001C1906"/>
    <w:rsid w:val="001C6D7B"/>
    <w:rsid w:val="001C7025"/>
    <w:rsid w:val="001D0CE8"/>
    <w:rsid w:val="001D0FFA"/>
    <w:rsid w:val="001D21B3"/>
    <w:rsid w:val="001D228A"/>
    <w:rsid w:val="001D5874"/>
    <w:rsid w:val="001E6B39"/>
    <w:rsid w:val="001F05B5"/>
    <w:rsid w:val="001F106E"/>
    <w:rsid w:val="001F4DF9"/>
    <w:rsid w:val="001F692B"/>
    <w:rsid w:val="002032B3"/>
    <w:rsid w:val="00203630"/>
    <w:rsid w:val="00217520"/>
    <w:rsid w:val="002200DF"/>
    <w:rsid w:val="0022743E"/>
    <w:rsid w:val="002378EE"/>
    <w:rsid w:val="00237C7B"/>
    <w:rsid w:val="00244B98"/>
    <w:rsid w:val="00246E08"/>
    <w:rsid w:val="00262CBB"/>
    <w:rsid w:val="00265FC8"/>
    <w:rsid w:val="00270D34"/>
    <w:rsid w:val="00271387"/>
    <w:rsid w:val="00273723"/>
    <w:rsid w:val="00274DD8"/>
    <w:rsid w:val="00277468"/>
    <w:rsid w:val="0028000A"/>
    <w:rsid w:val="00283954"/>
    <w:rsid w:val="00283E5A"/>
    <w:rsid w:val="00284164"/>
    <w:rsid w:val="00284D80"/>
    <w:rsid w:val="002853A5"/>
    <w:rsid w:val="00287056"/>
    <w:rsid w:val="0028762C"/>
    <w:rsid w:val="002905B6"/>
    <w:rsid w:val="00290795"/>
    <w:rsid w:val="00295AE7"/>
    <w:rsid w:val="00297F13"/>
    <w:rsid w:val="002A089A"/>
    <w:rsid w:val="002A1B28"/>
    <w:rsid w:val="002A4A40"/>
    <w:rsid w:val="002B113E"/>
    <w:rsid w:val="002B6D07"/>
    <w:rsid w:val="002C03E3"/>
    <w:rsid w:val="002C4583"/>
    <w:rsid w:val="002C6ED2"/>
    <w:rsid w:val="002D07C0"/>
    <w:rsid w:val="002D5095"/>
    <w:rsid w:val="002D5AF4"/>
    <w:rsid w:val="002D745B"/>
    <w:rsid w:val="002D7C48"/>
    <w:rsid w:val="002E1D30"/>
    <w:rsid w:val="002F7C84"/>
    <w:rsid w:val="003021A4"/>
    <w:rsid w:val="00305C47"/>
    <w:rsid w:val="003077B3"/>
    <w:rsid w:val="00314EAD"/>
    <w:rsid w:val="00317F1B"/>
    <w:rsid w:val="00322345"/>
    <w:rsid w:val="0032544F"/>
    <w:rsid w:val="00331593"/>
    <w:rsid w:val="003356B4"/>
    <w:rsid w:val="00342633"/>
    <w:rsid w:val="00347FC8"/>
    <w:rsid w:val="00353F95"/>
    <w:rsid w:val="00354113"/>
    <w:rsid w:val="00360F2C"/>
    <w:rsid w:val="00362914"/>
    <w:rsid w:val="003644D5"/>
    <w:rsid w:val="00366272"/>
    <w:rsid w:val="003663DC"/>
    <w:rsid w:val="00366B44"/>
    <w:rsid w:val="00367716"/>
    <w:rsid w:val="00374380"/>
    <w:rsid w:val="00377A59"/>
    <w:rsid w:val="00380DAF"/>
    <w:rsid w:val="00384B05"/>
    <w:rsid w:val="00386887"/>
    <w:rsid w:val="00391A4C"/>
    <w:rsid w:val="00392B93"/>
    <w:rsid w:val="00394689"/>
    <w:rsid w:val="003A0CF6"/>
    <w:rsid w:val="003A357A"/>
    <w:rsid w:val="003B0E72"/>
    <w:rsid w:val="003B6930"/>
    <w:rsid w:val="003C2F42"/>
    <w:rsid w:val="003C4345"/>
    <w:rsid w:val="003C69F4"/>
    <w:rsid w:val="003D20B4"/>
    <w:rsid w:val="003D48BB"/>
    <w:rsid w:val="003E0B1E"/>
    <w:rsid w:val="003E3287"/>
    <w:rsid w:val="003F0A1D"/>
    <w:rsid w:val="003F1AA7"/>
    <w:rsid w:val="003F3EF1"/>
    <w:rsid w:val="003F6FBA"/>
    <w:rsid w:val="003F709D"/>
    <w:rsid w:val="00405A4E"/>
    <w:rsid w:val="00405D7E"/>
    <w:rsid w:val="00406171"/>
    <w:rsid w:val="0041053E"/>
    <w:rsid w:val="00414551"/>
    <w:rsid w:val="00416DB3"/>
    <w:rsid w:val="004244B6"/>
    <w:rsid w:val="00442B8A"/>
    <w:rsid w:val="00442BBF"/>
    <w:rsid w:val="004515A8"/>
    <w:rsid w:val="00456AA6"/>
    <w:rsid w:val="00456E8B"/>
    <w:rsid w:val="004665E4"/>
    <w:rsid w:val="004675EB"/>
    <w:rsid w:val="004715DC"/>
    <w:rsid w:val="00473D1F"/>
    <w:rsid w:val="004753FA"/>
    <w:rsid w:val="00493D35"/>
    <w:rsid w:val="0049467C"/>
    <w:rsid w:val="00494BB5"/>
    <w:rsid w:val="00496A29"/>
    <w:rsid w:val="004A0ED3"/>
    <w:rsid w:val="004A1F88"/>
    <w:rsid w:val="004A2E08"/>
    <w:rsid w:val="004A3BC9"/>
    <w:rsid w:val="004B0BC6"/>
    <w:rsid w:val="004B4DF4"/>
    <w:rsid w:val="004C3598"/>
    <w:rsid w:val="004C4E1C"/>
    <w:rsid w:val="004C78CB"/>
    <w:rsid w:val="004D117D"/>
    <w:rsid w:val="004D6877"/>
    <w:rsid w:val="004D6AAB"/>
    <w:rsid w:val="004E6FE3"/>
    <w:rsid w:val="004E7688"/>
    <w:rsid w:val="004F245D"/>
    <w:rsid w:val="004F7BEC"/>
    <w:rsid w:val="005030BD"/>
    <w:rsid w:val="005036B8"/>
    <w:rsid w:val="00504C3A"/>
    <w:rsid w:val="00505813"/>
    <w:rsid w:val="00515173"/>
    <w:rsid w:val="00540931"/>
    <w:rsid w:val="00540E2E"/>
    <w:rsid w:val="00543056"/>
    <w:rsid w:val="00543B46"/>
    <w:rsid w:val="00545B1A"/>
    <w:rsid w:val="00552936"/>
    <w:rsid w:val="0055484E"/>
    <w:rsid w:val="005566FE"/>
    <w:rsid w:val="005570D2"/>
    <w:rsid w:val="0056061C"/>
    <w:rsid w:val="00573261"/>
    <w:rsid w:val="00573D0F"/>
    <w:rsid w:val="005743B1"/>
    <w:rsid w:val="00576531"/>
    <w:rsid w:val="00581C33"/>
    <w:rsid w:val="00586EF0"/>
    <w:rsid w:val="00590C44"/>
    <w:rsid w:val="005A4265"/>
    <w:rsid w:val="005B70B0"/>
    <w:rsid w:val="005B73CE"/>
    <w:rsid w:val="005B792B"/>
    <w:rsid w:val="005B7CC5"/>
    <w:rsid w:val="005C05EB"/>
    <w:rsid w:val="005C1497"/>
    <w:rsid w:val="005C6E6D"/>
    <w:rsid w:val="005D4FC4"/>
    <w:rsid w:val="005D5C03"/>
    <w:rsid w:val="005E1B3B"/>
    <w:rsid w:val="005E77F4"/>
    <w:rsid w:val="005F08A0"/>
    <w:rsid w:val="005F5CFB"/>
    <w:rsid w:val="005F68D2"/>
    <w:rsid w:val="005F68EE"/>
    <w:rsid w:val="00607182"/>
    <w:rsid w:val="00607541"/>
    <w:rsid w:val="0061135A"/>
    <w:rsid w:val="006136A8"/>
    <w:rsid w:val="006205B0"/>
    <w:rsid w:val="006213D9"/>
    <w:rsid w:val="00624472"/>
    <w:rsid w:val="00626CAA"/>
    <w:rsid w:val="00627EF1"/>
    <w:rsid w:val="00630EE8"/>
    <w:rsid w:val="0063310B"/>
    <w:rsid w:val="00633F60"/>
    <w:rsid w:val="0063572A"/>
    <w:rsid w:val="00637347"/>
    <w:rsid w:val="00640947"/>
    <w:rsid w:val="006414B2"/>
    <w:rsid w:val="00644E65"/>
    <w:rsid w:val="00645927"/>
    <w:rsid w:val="006461AC"/>
    <w:rsid w:val="006465B3"/>
    <w:rsid w:val="00652FF3"/>
    <w:rsid w:val="006530A8"/>
    <w:rsid w:val="006572BE"/>
    <w:rsid w:val="0065741B"/>
    <w:rsid w:val="006574A9"/>
    <w:rsid w:val="006577A3"/>
    <w:rsid w:val="00660A98"/>
    <w:rsid w:val="006628B6"/>
    <w:rsid w:val="0066320F"/>
    <w:rsid w:val="00672A51"/>
    <w:rsid w:val="00672D46"/>
    <w:rsid w:val="006830EC"/>
    <w:rsid w:val="00684295"/>
    <w:rsid w:val="006936EB"/>
    <w:rsid w:val="00694CFA"/>
    <w:rsid w:val="006A21F4"/>
    <w:rsid w:val="006B6F27"/>
    <w:rsid w:val="006C51B3"/>
    <w:rsid w:val="006C6408"/>
    <w:rsid w:val="006C68EA"/>
    <w:rsid w:val="006D49E9"/>
    <w:rsid w:val="006E0F99"/>
    <w:rsid w:val="006E0FAF"/>
    <w:rsid w:val="006E10EC"/>
    <w:rsid w:val="006E21DF"/>
    <w:rsid w:val="006E6E7F"/>
    <w:rsid w:val="006F6C32"/>
    <w:rsid w:val="007112E0"/>
    <w:rsid w:val="00713B40"/>
    <w:rsid w:val="00715B6E"/>
    <w:rsid w:val="007169F3"/>
    <w:rsid w:val="00722A70"/>
    <w:rsid w:val="007241C6"/>
    <w:rsid w:val="00726291"/>
    <w:rsid w:val="007274E8"/>
    <w:rsid w:val="007342AF"/>
    <w:rsid w:val="00736833"/>
    <w:rsid w:val="00737969"/>
    <w:rsid w:val="007406D9"/>
    <w:rsid w:val="00746B19"/>
    <w:rsid w:val="00753CC2"/>
    <w:rsid w:val="00753CED"/>
    <w:rsid w:val="007552DE"/>
    <w:rsid w:val="007628DA"/>
    <w:rsid w:val="00763F99"/>
    <w:rsid w:val="007729B0"/>
    <w:rsid w:val="00772E6F"/>
    <w:rsid w:val="007742C3"/>
    <w:rsid w:val="00775D76"/>
    <w:rsid w:val="00781E9A"/>
    <w:rsid w:val="00791C74"/>
    <w:rsid w:val="007925C7"/>
    <w:rsid w:val="007A6269"/>
    <w:rsid w:val="007B1462"/>
    <w:rsid w:val="007B510D"/>
    <w:rsid w:val="007B68C1"/>
    <w:rsid w:val="007C21C5"/>
    <w:rsid w:val="007C317B"/>
    <w:rsid w:val="007C758F"/>
    <w:rsid w:val="007D0CBF"/>
    <w:rsid w:val="007D17DB"/>
    <w:rsid w:val="007D3D05"/>
    <w:rsid w:val="007D6D36"/>
    <w:rsid w:val="007E2559"/>
    <w:rsid w:val="007E2678"/>
    <w:rsid w:val="007E4379"/>
    <w:rsid w:val="007F1209"/>
    <w:rsid w:val="007F1EEE"/>
    <w:rsid w:val="007F275D"/>
    <w:rsid w:val="007F75F2"/>
    <w:rsid w:val="00800EBC"/>
    <w:rsid w:val="00804B1D"/>
    <w:rsid w:val="00814563"/>
    <w:rsid w:val="0081581C"/>
    <w:rsid w:val="008217B5"/>
    <w:rsid w:val="00824775"/>
    <w:rsid w:val="00831BF4"/>
    <w:rsid w:val="00832822"/>
    <w:rsid w:val="0083390C"/>
    <w:rsid w:val="00837F29"/>
    <w:rsid w:val="0085219C"/>
    <w:rsid w:val="00852972"/>
    <w:rsid w:val="00853B70"/>
    <w:rsid w:val="008543E3"/>
    <w:rsid w:val="00856C18"/>
    <w:rsid w:val="00861EB8"/>
    <w:rsid w:val="00863A19"/>
    <w:rsid w:val="0086552D"/>
    <w:rsid w:val="008745FC"/>
    <w:rsid w:val="0088297D"/>
    <w:rsid w:val="00883B91"/>
    <w:rsid w:val="00883E18"/>
    <w:rsid w:val="00892A10"/>
    <w:rsid w:val="0089457F"/>
    <w:rsid w:val="008978BF"/>
    <w:rsid w:val="00897A4D"/>
    <w:rsid w:val="008A265C"/>
    <w:rsid w:val="008A40A8"/>
    <w:rsid w:val="008B00D2"/>
    <w:rsid w:val="008B2C9D"/>
    <w:rsid w:val="008B3B04"/>
    <w:rsid w:val="008B4603"/>
    <w:rsid w:val="008B678F"/>
    <w:rsid w:val="008C3290"/>
    <w:rsid w:val="008C4239"/>
    <w:rsid w:val="008C7BEC"/>
    <w:rsid w:val="008E0456"/>
    <w:rsid w:val="008E09A1"/>
    <w:rsid w:val="008F0C5F"/>
    <w:rsid w:val="008F1072"/>
    <w:rsid w:val="008F3EEF"/>
    <w:rsid w:val="008F60A2"/>
    <w:rsid w:val="0090374B"/>
    <w:rsid w:val="00904A06"/>
    <w:rsid w:val="00915AD7"/>
    <w:rsid w:val="00915E55"/>
    <w:rsid w:val="00921972"/>
    <w:rsid w:val="00923D14"/>
    <w:rsid w:val="00925CB2"/>
    <w:rsid w:val="009271FE"/>
    <w:rsid w:val="00930369"/>
    <w:rsid w:val="009361CF"/>
    <w:rsid w:val="00943758"/>
    <w:rsid w:val="00944D93"/>
    <w:rsid w:val="0094625C"/>
    <w:rsid w:val="00950D9E"/>
    <w:rsid w:val="00951987"/>
    <w:rsid w:val="009556F4"/>
    <w:rsid w:val="00955BDE"/>
    <w:rsid w:val="00957C3D"/>
    <w:rsid w:val="00962EBF"/>
    <w:rsid w:val="00964537"/>
    <w:rsid w:val="00967068"/>
    <w:rsid w:val="00972E6B"/>
    <w:rsid w:val="009751CB"/>
    <w:rsid w:val="0098307D"/>
    <w:rsid w:val="00993E5B"/>
    <w:rsid w:val="00997B1C"/>
    <w:rsid w:val="00997ECD"/>
    <w:rsid w:val="009A0FA7"/>
    <w:rsid w:val="009A2DE2"/>
    <w:rsid w:val="009A599F"/>
    <w:rsid w:val="009A613F"/>
    <w:rsid w:val="009B248A"/>
    <w:rsid w:val="009B2D0A"/>
    <w:rsid w:val="009B5B22"/>
    <w:rsid w:val="009B5D7A"/>
    <w:rsid w:val="009B7BBD"/>
    <w:rsid w:val="009C106C"/>
    <w:rsid w:val="009C16C6"/>
    <w:rsid w:val="009C35D8"/>
    <w:rsid w:val="009C66C9"/>
    <w:rsid w:val="009D4481"/>
    <w:rsid w:val="009D5448"/>
    <w:rsid w:val="009D5A3B"/>
    <w:rsid w:val="009D7EE8"/>
    <w:rsid w:val="009E18F8"/>
    <w:rsid w:val="009E36E9"/>
    <w:rsid w:val="009E685E"/>
    <w:rsid w:val="009E7258"/>
    <w:rsid w:val="009F3A77"/>
    <w:rsid w:val="009F5D72"/>
    <w:rsid w:val="009F5DE2"/>
    <w:rsid w:val="00A00FAF"/>
    <w:rsid w:val="00A05374"/>
    <w:rsid w:val="00A077C5"/>
    <w:rsid w:val="00A24AF9"/>
    <w:rsid w:val="00A31B05"/>
    <w:rsid w:val="00A373AA"/>
    <w:rsid w:val="00A42E0A"/>
    <w:rsid w:val="00A440EE"/>
    <w:rsid w:val="00A44CBB"/>
    <w:rsid w:val="00A45917"/>
    <w:rsid w:val="00A52F46"/>
    <w:rsid w:val="00A533FC"/>
    <w:rsid w:val="00A60748"/>
    <w:rsid w:val="00A63F1E"/>
    <w:rsid w:val="00A640DD"/>
    <w:rsid w:val="00A75F4F"/>
    <w:rsid w:val="00A813F2"/>
    <w:rsid w:val="00A8198C"/>
    <w:rsid w:val="00A831CC"/>
    <w:rsid w:val="00A83444"/>
    <w:rsid w:val="00A83C0A"/>
    <w:rsid w:val="00A94D98"/>
    <w:rsid w:val="00A96ADE"/>
    <w:rsid w:val="00A9779E"/>
    <w:rsid w:val="00AA2478"/>
    <w:rsid w:val="00AA7863"/>
    <w:rsid w:val="00AB4CC4"/>
    <w:rsid w:val="00AB644C"/>
    <w:rsid w:val="00AB786F"/>
    <w:rsid w:val="00AC4F60"/>
    <w:rsid w:val="00AC7C4D"/>
    <w:rsid w:val="00AD3890"/>
    <w:rsid w:val="00AD6CDB"/>
    <w:rsid w:val="00AD77AE"/>
    <w:rsid w:val="00AE6FDC"/>
    <w:rsid w:val="00AF2387"/>
    <w:rsid w:val="00AF5FEC"/>
    <w:rsid w:val="00AF7DA7"/>
    <w:rsid w:val="00B00F4E"/>
    <w:rsid w:val="00B0255D"/>
    <w:rsid w:val="00B02BAD"/>
    <w:rsid w:val="00B02E4C"/>
    <w:rsid w:val="00B0492F"/>
    <w:rsid w:val="00B10EA9"/>
    <w:rsid w:val="00B12080"/>
    <w:rsid w:val="00B16CB9"/>
    <w:rsid w:val="00B20568"/>
    <w:rsid w:val="00B22491"/>
    <w:rsid w:val="00B24468"/>
    <w:rsid w:val="00B3190A"/>
    <w:rsid w:val="00B35B9E"/>
    <w:rsid w:val="00B36B42"/>
    <w:rsid w:val="00B37576"/>
    <w:rsid w:val="00B411AD"/>
    <w:rsid w:val="00B42858"/>
    <w:rsid w:val="00B4344A"/>
    <w:rsid w:val="00B43AFC"/>
    <w:rsid w:val="00B47F06"/>
    <w:rsid w:val="00B50D6E"/>
    <w:rsid w:val="00B52C36"/>
    <w:rsid w:val="00B54F88"/>
    <w:rsid w:val="00B6111C"/>
    <w:rsid w:val="00B61E7C"/>
    <w:rsid w:val="00B7002E"/>
    <w:rsid w:val="00B70274"/>
    <w:rsid w:val="00B83E4C"/>
    <w:rsid w:val="00B87789"/>
    <w:rsid w:val="00B9075D"/>
    <w:rsid w:val="00B9155E"/>
    <w:rsid w:val="00B941FC"/>
    <w:rsid w:val="00B95665"/>
    <w:rsid w:val="00B956D7"/>
    <w:rsid w:val="00B964F9"/>
    <w:rsid w:val="00B96571"/>
    <w:rsid w:val="00BA06CE"/>
    <w:rsid w:val="00BA15A9"/>
    <w:rsid w:val="00BA7DF8"/>
    <w:rsid w:val="00BB1AF4"/>
    <w:rsid w:val="00BB2B4C"/>
    <w:rsid w:val="00BB3804"/>
    <w:rsid w:val="00BB3FEC"/>
    <w:rsid w:val="00BB5803"/>
    <w:rsid w:val="00BC02C1"/>
    <w:rsid w:val="00BC0B13"/>
    <w:rsid w:val="00BC4C62"/>
    <w:rsid w:val="00BD0726"/>
    <w:rsid w:val="00BE1BEB"/>
    <w:rsid w:val="00BF3EBF"/>
    <w:rsid w:val="00BF40C9"/>
    <w:rsid w:val="00BF6FD2"/>
    <w:rsid w:val="00C02F70"/>
    <w:rsid w:val="00C035BC"/>
    <w:rsid w:val="00C03B48"/>
    <w:rsid w:val="00C07A3F"/>
    <w:rsid w:val="00C10900"/>
    <w:rsid w:val="00C149C8"/>
    <w:rsid w:val="00C14CFD"/>
    <w:rsid w:val="00C17163"/>
    <w:rsid w:val="00C21567"/>
    <w:rsid w:val="00C34F09"/>
    <w:rsid w:val="00C4077D"/>
    <w:rsid w:val="00C45D55"/>
    <w:rsid w:val="00C47AA6"/>
    <w:rsid w:val="00C501F5"/>
    <w:rsid w:val="00C53CB9"/>
    <w:rsid w:val="00C544D1"/>
    <w:rsid w:val="00C55306"/>
    <w:rsid w:val="00C55AD1"/>
    <w:rsid w:val="00C60218"/>
    <w:rsid w:val="00C64BB5"/>
    <w:rsid w:val="00C652FD"/>
    <w:rsid w:val="00C6790D"/>
    <w:rsid w:val="00C72EC3"/>
    <w:rsid w:val="00C7495E"/>
    <w:rsid w:val="00C8604B"/>
    <w:rsid w:val="00C86E87"/>
    <w:rsid w:val="00C90140"/>
    <w:rsid w:val="00C91D2C"/>
    <w:rsid w:val="00C95243"/>
    <w:rsid w:val="00CB11A2"/>
    <w:rsid w:val="00CB1261"/>
    <w:rsid w:val="00CB26DA"/>
    <w:rsid w:val="00CB33FC"/>
    <w:rsid w:val="00CC31DD"/>
    <w:rsid w:val="00CC4E3D"/>
    <w:rsid w:val="00CC526D"/>
    <w:rsid w:val="00CC6082"/>
    <w:rsid w:val="00CD3D65"/>
    <w:rsid w:val="00CD7807"/>
    <w:rsid w:val="00CE2E4D"/>
    <w:rsid w:val="00CE3970"/>
    <w:rsid w:val="00CE40AC"/>
    <w:rsid w:val="00CE58FD"/>
    <w:rsid w:val="00CE7379"/>
    <w:rsid w:val="00CF1F35"/>
    <w:rsid w:val="00CF336B"/>
    <w:rsid w:val="00CF3A85"/>
    <w:rsid w:val="00D0631C"/>
    <w:rsid w:val="00D06C46"/>
    <w:rsid w:val="00D11CFD"/>
    <w:rsid w:val="00D11ECE"/>
    <w:rsid w:val="00D12F29"/>
    <w:rsid w:val="00D1724F"/>
    <w:rsid w:val="00D23D2D"/>
    <w:rsid w:val="00D372ED"/>
    <w:rsid w:val="00D37E29"/>
    <w:rsid w:val="00D41014"/>
    <w:rsid w:val="00D41417"/>
    <w:rsid w:val="00D429FA"/>
    <w:rsid w:val="00D45B2E"/>
    <w:rsid w:val="00D50ABA"/>
    <w:rsid w:val="00D548DD"/>
    <w:rsid w:val="00D550CC"/>
    <w:rsid w:val="00D55307"/>
    <w:rsid w:val="00D57A2C"/>
    <w:rsid w:val="00D60331"/>
    <w:rsid w:val="00D6249F"/>
    <w:rsid w:val="00D71D9C"/>
    <w:rsid w:val="00D7307F"/>
    <w:rsid w:val="00D760FC"/>
    <w:rsid w:val="00D80C43"/>
    <w:rsid w:val="00D8255B"/>
    <w:rsid w:val="00D83944"/>
    <w:rsid w:val="00D83A2B"/>
    <w:rsid w:val="00D83D2E"/>
    <w:rsid w:val="00D852B8"/>
    <w:rsid w:val="00D92019"/>
    <w:rsid w:val="00D920C1"/>
    <w:rsid w:val="00D92CC7"/>
    <w:rsid w:val="00D955AB"/>
    <w:rsid w:val="00D9638A"/>
    <w:rsid w:val="00D97FB9"/>
    <w:rsid w:val="00DA10DA"/>
    <w:rsid w:val="00DA43B1"/>
    <w:rsid w:val="00DB357D"/>
    <w:rsid w:val="00DB59FD"/>
    <w:rsid w:val="00DB71F0"/>
    <w:rsid w:val="00DC78A4"/>
    <w:rsid w:val="00DD0E88"/>
    <w:rsid w:val="00DD1906"/>
    <w:rsid w:val="00DE1762"/>
    <w:rsid w:val="00DE1B8D"/>
    <w:rsid w:val="00DE2638"/>
    <w:rsid w:val="00DF09C9"/>
    <w:rsid w:val="00DF1E7A"/>
    <w:rsid w:val="00DF3F77"/>
    <w:rsid w:val="00DF7376"/>
    <w:rsid w:val="00E01228"/>
    <w:rsid w:val="00E0168B"/>
    <w:rsid w:val="00E0308C"/>
    <w:rsid w:val="00E04F75"/>
    <w:rsid w:val="00E07E3B"/>
    <w:rsid w:val="00E100F6"/>
    <w:rsid w:val="00E110BB"/>
    <w:rsid w:val="00E148B2"/>
    <w:rsid w:val="00E17943"/>
    <w:rsid w:val="00E17EB2"/>
    <w:rsid w:val="00E22667"/>
    <w:rsid w:val="00E2394A"/>
    <w:rsid w:val="00E26C11"/>
    <w:rsid w:val="00E31CF4"/>
    <w:rsid w:val="00E336DA"/>
    <w:rsid w:val="00E33AF9"/>
    <w:rsid w:val="00E353CE"/>
    <w:rsid w:val="00E3605F"/>
    <w:rsid w:val="00E42291"/>
    <w:rsid w:val="00E43B8C"/>
    <w:rsid w:val="00E5002A"/>
    <w:rsid w:val="00E525DF"/>
    <w:rsid w:val="00E53A54"/>
    <w:rsid w:val="00E54BCC"/>
    <w:rsid w:val="00E559B5"/>
    <w:rsid w:val="00E56D74"/>
    <w:rsid w:val="00E6045F"/>
    <w:rsid w:val="00E6092E"/>
    <w:rsid w:val="00E72C0B"/>
    <w:rsid w:val="00E73597"/>
    <w:rsid w:val="00E753C7"/>
    <w:rsid w:val="00E7685E"/>
    <w:rsid w:val="00E84041"/>
    <w:rsid w:val="00E852F7"/>
    <w:rsid w:val="00E90811"/>
    <w:rsid w:val="00E90D32"/>
    <w:rsid w:val="00E964B9"/>
    <w:rsid w:val="00EA0254"/>
    <w:rsid w:val="00EB146A"/>
    <w:rsid w:val="00EB46FF"/>
    <w:rsid w:val="00EC14EE"/>
    <w:rsid w:val="00EC21BD"/>
    <w:rsid w:val="00EC7346"/>
    <w:rsid w:val="00ED0273"/>
    <w:rsid w:val="00ED178A"/>
    <w:rsid w:val="00ED2D04"/>
    <w:rsid w:val="00ED2F65"/>
    <w:rsid w:val="00ED34E1"/>
    <w:rsid w:val="00ED374E"/>
    <w:rsid w:val="00EE162A"/>
    <w:rsid w:val="00EE37EB"/>
    <w:rsid w:val="00EE5893"/>
    <w:rsid w:val="00EF2E7F"/>
    <w:rsid w:val="00F01856"/>
    <w:rsid w:val="00F02CA6"/>
    <w:rsid w:val="00F061C8"/>
    <w:rsid w:val="00F133DE"/>
    <w:rsid w:val="00F13572"/>
    <w:rsid w:val="00F14702"/>
    <w:rsid w:val="00F14A9F"/>
    <w:rsid w:val="00F21C27"/>
    <w:rsid w:val="00F22B8F"/>
    <w:rsid w:val="00F23CC5"/>
    <w:rsid w:val="00F243BD"/>
    <w:rsid w:val="00F278B9"/>
    <w:rsid w:val="00F3261B"/>
    <w:rsid w:val="00F349B3"/>
    <w:rsid w:val="00F36238"/>
    <w:rsid w:val="00F41290"/>
    <w:rsid w:val="00F56691"/>
    <w:rsid w:val="00F6746A"/>
    <w:rsid w:val="00F70BA3"/>
    <w:rsid w:val="00F75098"/>
    <w:rsid w:val="00F76EC5"/>
    <w:rsid w:val="00F77F11"/>
    <w:rsid w:val="00F81640"/>
    <w:rsid w:val="00F83CA7"/>
    <w:rsid w:val="00F84220"/>
    <w:rsid w:val="00F904BF"/>
    <w:rsid w:val="00F92513"/>
    <w:rsid w:val="00F92CBE"/>
    <w:rsid w:val="00F947A7"/>
    <w:rsid w:val="00F956DD"/>
    <w:rsid w:val="00F9585A"/>
    <w:rsid w:val="00F960FA"/>
    <w:rsid w:val="00F96524"/>
    <w:rsid w:val="00FA40C4"/>
    <w:rsid w:val="00FA4E76"/>
    <w:rsid w:val="00FB054C"/>
    <w:rsid w:val="00FB211D"/>
    <w:rsid w:val="00FB2D78"/>
    <w:rsid w:val="00FB3789"/>
    <w:rsid w:val="00FC4849"/>
    <w:rsid w:val="00FC5A8F"/>
    <w:rsid w:val="00FC5FF1"/>
    <w:rsid w:val="00FC76CE"/>
    <w:rsid w:val="00FC775A"/>
    <w:rsid w:val="00FD2C45"/>
    <w:rsid w:val="00FD38FB"/>
    <w:rsid w:val="00FD44B0"/>
    <w:rsid w:val="00FD4DEF"/>
    <w:rsid w:val="00FE29FD"/>
    <w:rsid w:val="00FE4832"/>
    <w:rsid w:val="00FF20AD"/>
    <w:rsid w:val="00FF6099"/>
    <w:rsid w:val="0173112B"/>
    <w:rsid w:val="039A02CF"/>
    <w:rsid w:val="06E23AB3"/>
    <w:rsid w:val="0C9D6E83"/>
    <w:rsid w:val="17BD4DF2"/>
    <w:rsid w:val="18B563E2"/>
    <w:rsid w:val="1AF051E7"/>
    <w:rsid w:val="24CD730A"/>
    <w:rsid w:val="34A357B5"/>
    <w:rsid w:val="35897EF7"/>
    <w:rsid w:val="3B7E311A"/>
    <w:rsid w:val="3D181DAE"/>
    <w:rsid w:val="498B5A38"/>
    <w:rsid w:val="4C131BDF"/>
    <w:rsid w:val="4C6D3014"/>
    <w:rsid w:val="51A435D7"/>
    <w:rsid w:val="568073E5"/>
    <w:rsid w:val="577E7815"/>
    <w:rsid w:val="58534152"/>
    <w:rsid w:val="5D6339D0"/>
    <w:rsid w:val="5F8607FD"/>
    <w:rsid w:val="655E71F4"/>
    <w:rsid w:val="6DB60B2A"/>
    <w:rsid w:val="702B409B"/>
    <w:rsid w:val="728F1DDD"/>
    <w:rsid w:val="72D73D46"/>
    <w:rsid w:val="798804EA"/>
    <w:rsid w:val="79D56B68"/>
    <w:rsid w:val="7EDE538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B9612"/>
  <w15:docId w15:val="{31904271-DCC6-4907-9EAE-E827CDA2C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10" w:after="10" w:line="360" w:lineRule="auto"/>
      <w:ind w:left="432"/>
      <w:outlineLvl w:val="0"/>
    </w:pPr>
    <w:rPr>
      <w:rFonts w:ascii="Calibri" w:eastAsia="仿宋" w:hAnsi="Calibri" w:cs="黑体"/>
      <w:b/>
      <w:bCs/>
      <w:kern w:val="44"/>
      <w:sz w:val="30"/>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uiPriority w:val="99"/>
    <w:unhideWhenUsed/>
    <w:qFormat/>
    <w:rPr>
      <w:rFonts w:ascii="Calibri" w:eastAsia="宋体" w:hAnsi="Calibri" w:cs="Times New Roman"/>
      <w:szCs w:val="24"/>
    </w:r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autoRedefine/>
    <w:uiPriority w:val="39"/>
    <w:unhideWhenUsed/>
    <w:qFormat/>
  </w:style>
  <w:style w:type="paragraph" w:styleId="TOC2">
    <w:name w:val="toc 2"/>
    <w:basedOn w:val="a"/>
    <w:next w:val="a"/>
    <w:autoRedefine/>
    <w:uiPriority w:val="39"/>
    <w:unhideWhenUsed/>
    <w:qFormat/>
    <w:pPr>
      <w:ind w:leftChars="200" w:left="420"/>
    </w:pPr>
  </w:style>
  <w:style w:type="character" w:styleId="ab">
    <w:name w:val="Hyperlink"/>
    <w:basedOn w:val="a0"/>
    <w:uiPriority w:val="99"/>
    <w:unhideWhenUsed/>
    <w:qFormat/>
    <w:rPr>
      <w:color w:val="0563C1" w:themeColor="hyperlink"/>
      <w:u w:val="single"/>
    </w:rPr>
  </w:style>
  <w:style w:type="character" w:customStyle="1" w:styleId="10">
    <w:name w:val="标题 1 字符"/>
    <w:basedOn w:val="a0"/>
    <w:link w:val="1"/>
    <w:uiPriority w:val="9"/>
    <w:qFormat/>
    <w:rPr>
      <w:rFonts w:ascii="Calibri" w:eastAsia="仿宋" w:hAnsi="Calibri" w:cs="黑体"/>
      <w:b/>
      <w:bCs/>
      <w:kern w:val="44"/>
      <w:sz w:val="30"/>
      <w:szCs w:val="44"/>
    </w:rPr>
  </w:style>
  <w:style w:type="character" w:customStyle="1" w:styleId="20">
    <w:name w:val="标题 2 字符"/>
    <w:basedOn w:val="a0"/>
    <w:link w:val="2"/>
    <w:uiPriority w:val="9"/>
    <w:qFormat/>
    <w:rPr>
      <w:rFonts w:asciiTheme="majorHAnsi" w:eastAsiaTheme="majorEastAsia" w:hAnsiTheme="majorHAnsi" w:cstheme="majorBidi"/>
      <w:b/>
      <w:bCs/>
      <w:sz w:val="32"/>
      <w:szCs w:val="32"/>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customStyle="1" w:styleId="11">
    <w:name w:val="列表段落1"/>
    <w:basedOn w:val="a"/>
    <w:link w:val="ac"/>
    <w:uiPriority w:val="34"/>
    <w:qFormat/>
    <w:pPr>
      <w:ind w:firstLineChars="200" w:firstLine="420"/>
    </w:pPr>
    <w:rPr>
      <w:rFonts w:ascii="Times New Roman" w:eastAsia="仿宋" w:hAnsi="Times New Roman" w:cs="Times New Roman"/>
      <w:kern w:val="0"/>
      <w:sz w:val="32"/>
      <w:szCs w:val="20"/>
    </w:rPr>
  </w:style>
  <w:style w:type="character" w:customStyle="1" w:styleId="ac">
    <w:name w:val="列表段落 字符"/>
    <w:link w:val="11"/>
    <w:uiPriority w:val="34"/>
    <w:qFormat/>
    <w:rPr>
      <w:rFonts w:ascii="Times New Roman" w:eastAsia="仿宋" w:hAnsi="Times New Roman" w:cs="Times New Roman"/>
      <w:kern w:val="0"/>
      <w:sz w:val="32"/>
      <w:szCs w:val="20"/>
    </w:rPr>
  </w:style>
  <w:style w:type="paragraph" w:customStyle="1" w:styleId="TOC10">
    <w:name w:val="TOC 标题1"/>
    <w:basedOn w:val="1"/>
    <w:next w:val="a"/>
    <w:uiPriority w:val="39"/>
    <w:unhideWhenUsed/>
    <w:qFormat/>
    <w:pPr>
      <w:widowControl/>
      <w:spacing w:before="240" w:after="0" w:line="259" w:lineRule="auto"/>
      <w:ind w:left="0"/>
      <w:jc w:val="left"/>
      <w:outlineLvl w:val="9"/>
    </w:pPr>
    <w:rPr>
      <w:rFonts w:asciiTheme="majorHAnsi" w:eastAsiaTheme="majorEastAsia" w:hAnsiTheme="majorHAnsi" w:cstheme="majorBidi"/>
      <w:b w:val="0"/>
      <w:bCs w:val="0"/>
      <w:color w:val="2F5496" w:themeColor="accent1" w:themeShade="BF"/>
      <w:kern w:val="0"/>
      <w:sz w:val="32"/>
      <w:szCs w:val="32"/>
    </w:rPr>
  </w:style>
  <w:style w:type="character" w:customStyle="1" w:styleId="a6">
    <w:name w:val="批注框文本 字符"/>
    <w:basedOn w:val="a0"/>
    <w:link w:val="a5"/>
    <w:uiPriority w:val="99"/>
    <w:semiHidden/>
    <w:qFormat/>
    <w:rPr>
      <w:sz w:val="18"/>
      <w:szCs w:val="18"/>
    </w:rPr>
  </w:style>
  <w:style w:type="paragraph" w:customStyle="1" w:styleId="Default">
    <w:name w:val="Default"/>
    <w:qFormat/>
    <w:pPr>
      <w:widowControl w:val="0"/>
      <w:autoSpaceDE w:val="0"/>
      <w:autoSpaceDN w:val="0"/>
      <w:adjustRightInd w:val="0"/>
    </w:pPr>
    <w:rPr>
      <w:rFonts w:ascii="宋体" w:hAnsiTheme="minorHAnsi" w:cs="宋体"/>
      <w:color w:val="000000"/>
      <w:sz w:val="24"/>
      <w:szCs w:val="24"/>
    </w:rPr>
  </w:style>
  <w:style w:type="character" w:customStyle="1" w:styleId="NormalCharacter">
    <w:name w:val="NormalCharacter"/>
    <w:qFormat/>
  </w:style>
  <w:style w:type="character" w:customStyle="1" w:styleId="30">
    <w:name w:val="标题 3 字符"/>
    <w:basedOn w:val="a0"/>
    <w:link w:val="3"/>
    <w:uiPriority w:val="9"/>
    <w:semiHidden/>
    <w:qFormat/>
    <w:rPr>
      <w:b/>
      <w:bCs/>
      <w:sz w:val="32"/>
      <w:szCs w:val="32"/>
    </w:rPr>
  </w:style>
  <w:style w:type="character" w:customStyle="1" w:styleId="a4">
    <w:name w:val="正文文本 字符"/>
    <w:basedOn w:val="a0"/>
    <w:link w:val="a3"/>
    <w:uiPriority w:val="99"/>
    <w:qFormat/>
    <w:rPr>
      <w:rFonts w:ascii="Calibri" w:eastAsia="宋体" w:hAnsi="Calibri" w:cs="Times New Roman"/>
      <w:szCs w:val="24"/>
    </w:rPr>
  </w:style>
  <w:style w:type="paragraph" w:customStyle="1" w:styleId="CharCharChar1Char">
    <w:name w:val="Char Char Char1 Char"/>
    <w:basedOn w:val="1"/>
    <w:qFormat/>
    <w:pPr>
      <w:snapToGrid w:val="0"/>
      <w:spacing w:before="240" w:after="240" w:line="348" w:lineRule="auto"/>
      <w:ind w:left="0"/>
    </w:pPr>
    <w:rPr>
      <w:rFonts w:eastAsia="宋体" w:cs="Times New Roman"/>
      <w:sz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5.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dataSourceCollection xmlns="http://www.yonyou.com/datasourc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relations xmlns="http://www.yonyou.com/relation"/>
</file>

<file path=customXml/itemProps1.xml><?xml version="1.0" encoding="utf-8"?>
<ds:datastoreItem xmlns:ds="http://schemas.openxmlformats.org/officeDocument/2006/customXml" ds:itemID="{2751297C-4761-4FF8-951D-3650B6852346}">
  <ds:schemaRefs>
    <ds:schemaRef ds:uri="http://www.yonyou.com/datasource"/>
  </ds:schemaRefs>
</ds:datastoreItem>
</file>

<file path=customXml/itemProps2.xml><?xml version="1.0" encoding="utf-8"?>
<ds:datastoreItem xmlns:ds="http://schemas.openxmlformats.org/officeDocument/2006/customXml" ds:itemID="{245C1BE7-DE2C-4A62-AF48-528CE0B1C1E1}">
  <ds:schemaRefs>
    <ds:schemaRef ds:uri="http://schemas.openxmlformats.org/officeDocument/2006/bibliography"/>
  </ds:schemaRefs>
</ds:datastoreItem>
</file>

<file path=customXml/itemProps3.xml><?xml version="1.0" encoding="utf-8"?>
<ds:datastoreItem xmlns:ds="http://schemas.openxmlformats.org/officeDocument/2006/customXml" ds:itemID="{70F5A093-63A7-45EC-B736-B960DB4C0D62}">
  <ds:schemaRefs>
    <ds:schemaRef ds:uri="http://www.yonyou.com/relatio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420</Words>
  <Characters>2394</Characters>
  <Application>Microsoft Office Word</Application>
  <DocSecurity>0</DocSecurity>
  <Lines>19</Lines>
  <Paragraphs>5</Paragraphs>
  <ScaleCrop>false</ScaleCrop>
  <Company/>
  <LinksUpToDate>false</LinksUpToDate>
  <CharactersWithSpaces>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wei .</cp:lastModifiedBy>
  <cp:revision>2970</cp:revision>
  <cp:lastPrinted>2021-06-15T06:55:00Z</cp:lastPrinted>
  <dcterms:created xsi:type="dcterms:W3CDTF">2021-03-30T09:14:00Z</dcterms:created>
  <dcterms:modified xsi:type="dcterms:W3CDTF">2025-04-21T13:05:00Z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3D59C2699A92447BA829253FB13C8758_12</vt:lpwstr>
  </property>
</Properties>
</file>