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8"/>
        <w:gridCol w:w="1779"/>
        <w:gridCol w:w="897"/>
        <w:gridCol w:w="709"/>
        <w:gridCol w:w="1323"/>
        <w:gridCol w:w="5729"/>
        <w:gridCol w:w="1236"/>
        <w:gridCol w:w="1451"/>
      </w:tblGrid>
      <w:tr w:rsidR="009B1CA5" w:rsidTr="004D0561">
        <w:trPr>
          <w:trHeight w:val="216"/>
        </w:trPr>
        <w:tc>
          <w:tcPr>
            <w:tcW w:w="2076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纳税人识别号</w:t>
            </w:r>
          </w:p>
        </w:tc>
        <w:tc>
          <w:tcPr>
            <w:tcW w:w="2628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纳税人名称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法定代表人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负责人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姓名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身份证件种类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身份证件号码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生产经营地址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非正常户认定日期</w:t>
            </w:r>
          </w:p>
        </w:tc>
        <w:tc>
          <w:tcPr>
            <w:tcW w:w="1728" w:type="dxa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预计公告日期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91360425MA35XH8M4R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江西福祥鸿远贸易有限公司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杨君健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江西省九江市永修县永丰垦殖场下泥村京九新村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2019-02-28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91360425MA35FE7U7H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江西森海利达实业有限公司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王荣周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永修县永丰垦殖场永丰下泥村砖瓦厂闲置库房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2019-04-26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91360108MA38CKG445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南昌彩棱建材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销售有限公司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李雄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江西省南昌市南昌经济技术开发区下罗村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栋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402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91360108MA389B2YXW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南昌市坤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堃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杨斌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江西省南昌市南昌经济技术开发区经开大道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1388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5#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91360108MA388CWMXN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南昌市钢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潢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贸易有限公司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张康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江西省南昌市南昌经济技术开发区经开大道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1388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5#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91360108MA388TE790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南昌市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刚琦科技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吴清伟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江西省南昌市南昌经济技术开发区经开大道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1388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5#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楼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91360108MA38PHUE81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南昌派佳金属材料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销售有限公司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周远东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江西省南昌市南昌经济技术开发区青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岚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号的台商工业园一号楼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203-17A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91360108MA37WU7T75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南昌普盛威贸易有限公司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徐峰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江西省南昌市南昌经济技术开发区双港大道以北、青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岚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水渠以南、青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岚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大道以西（第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层）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  202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室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2019-09-30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91360108MA38MH6N20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江西虎扑商贸有限公司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张淑敏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江西省南昌市南昌经济技术开发区青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岚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号的台商工业园一号楼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203-8A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2019-12-19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91360108MA38M82R5L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俊禾医疗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咨询服务有限公司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刘俊升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江西省南昌市南昌经济技术开发区青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岚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大道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号的台商工业园一号楼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203-12A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2019-12-19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91360108MA38CFLP4J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江西妙品农业发展有限公司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邹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玘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龙潭路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以西、水仙路以北仓储综合楼（第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1-5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层）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523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室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2019-12-26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  <w:tr w:rsidR="009B1CA5" w:rsidTr="004D0561">
        <w:trPr>
          <w:trHeight w:val="216"/>
        </w:trPr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lastRenderedPageBreak/>
              <w:t>91360108MA35RA7G7K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南昌致力人力资源服务有限公司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刘志鹏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居民身份证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9B1CA5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江西省南昌市南昌经济技术开发区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庐山南大道蛟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桥镇综合场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2213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号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2019-12-30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B1CA5" w:rsidRDefault="004D0561">
            <w:pPr>
              <w:widowControl/>
              <w:jc w:val="left"/>
              <w:rPr>
                <w:rFonts w:ascii="微软雅黑" w:eastAsia="微软雅黑" w:hAnsi="微软雅黑" w:cs="微软雅黑"/>
                <w:color w:val="333333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lang w:bidi="ar"/>
              </w:rPr>
              <w:t>2020-01-13</w:t>
            </w:r>
          </w:p>
        </w:tc>
      </w:tr>
    </w:tbl>
    <w:p w:rsidR="009B1CA5" w:rsidRDefault="004D0561">
      <w:pPr>
        <w:pStyle w:val="a3"/>
        <w:widowControl/>
        <w:spacing w:beforeAutospacing="0" w:after="120" w:afterAutospacing="0" w:line="360" w:lineRule="atLeast"/>
        <w:rPr>
          <w:sz w:val="19"/>
          <w:szCs w:val="19"/>
        </w:rPr>
      </w:pPr>
      <w:r>
        <w:rPr>
          <w:rFonts w:ascii="微软雅黑" w:eastAsia="微软雅黑" w:hAnsi="微软雅黑" w:cs="微软雅黑" w:hint="eastAsia"/>
          <w:color w:val="333333"/>
          <w:sz w:val="19"/>
          <w:szCs w:val="19"/>
        </w:rPr>
        <w:t> </w:t>
      </w:r>
    </w:p>
    <w:p w:rsidR="009B1CA5" w:rsidRDefault="009B1CA5"/>
    <w:sectPr w:rsidR="009B1CA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5"/>
    <w:rsid w:val="004D0561"/>
    <w:rsid w:val="009B1CA5"/>
    <w:rsid w:val="0B1D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65E9EF-8098-4BC9-B3D5-DE987088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Hyperlink"/>
    <w:basedOn w:val="a0"/>
    <w:rPr>
      <w:color w:val="33333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>微软中国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Administrator</cp:lastModifiedBy>
  <cp:revision>3</cp:revision>
  <dcterms:created xsi:type="dcterms:W3CDTF">2021-03-04T02:52:00Z</dcterms:created>
  <dcterms:modified xsi:type="dcterms:W3CDTF">2024-05-23T01:32:00Z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